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after="0" w:line="360" w:lineRule="auto"/>
        <w:rPr>
          <w:rFonts w:ascii="Times New Roman" w:hAnsi="Times New Roman" w:cs="宋体"/>
          <w:color w:val="000000"/>
          <w:sz w:val="24"/>
          <w:szCs w:val="21"/>
        </w:rPr>
      </w:pPr>
      <w:bookmarkStart w:id="0" w:name="_GoBack"/>
      <w:bookmarkEnd w:id="0"/>
      <w:r>
        <w:rPr>
          <w:rFonts w:hint="eastAsia" w:ascii="Times New Roman" w:hAnsi="Times New Roman" w:cs="宋体"/>
          <w:color w:val="000000"/>
          <w:sz w:val="24"/>
          <w:szCs w:val="21"/>
        </w:rPr>
        <w:t>嘉兴市国鸿汽车运输有限公司营运车用轮胎采购第一标段（重新招标）</w:t>
      </w:r>
    </w:p>
    <w:p>
      <w:pPr>
        <w:pStyle w:val="6"/>
        <w:spacing w:before="0" w:after="0" w:line="360" w:lineRule="auto"/>
        <w:rPr>
          <w:rFonts w:ascii="Times New Roman" w:hAnsi="Times New Roman" w:cs="宋体"/>
          <w:color w:val="000000"/>
          <w:sz w:val="24"/>
          <w:szCs w:val="21"/>
        </w:rPr>
      </w:pPr>
      <w:r>
        <w:rPr>
          <w:rFonts w:hint="eastAsia" w:ascii="Times New Roman" w:hAnsi="Times New Roman" w:cs="宋体"/>
          <w:color w:val="000000"/>
          <w:sz w:val="24"/>
          <w:szCs w:val="21"/>
        </w:rPr>
        <w:t>公开招标采购公告</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根据《中华人民共和国招标投标法》等有关规定，现就</w:t>
      </w:r>
      <w:r>
        <w:rPr>
          <w:rFonts w:hint="eastAsia" w:ascii="Times New Roman" w:hAnsi="Times New Roman" w:cs="宋体"/>
          <w:color w:val="000000"/>
          <w:szCs w:val="21"/>
          <w:u w:val="single"/>
        </w:rPr>
        <w:t>嘉兴市国鸿汽车运输有限公司营运车用轮胎采购第一标段（重新招标）</w:t>
      </w:r>
      <w:r>
        <w:rPr>
          <w:rFonts w:hint="eastAsia" w:ascii="Times New Roman" w:hAnsi="Times New Roman" w:cs="宋体"/>
          <w:color w:val="000000"/>
          <w:szCs w:val="21"/>
        </w:rPr>
        <w:t>进行公开招标采购，欢迎国内合格供应商前来投标，现将有有关事项公告如下：</w:t>
      </w:r>
    </w:p>
    <w:p>
      <w:pPr>
        <w:spacing w:line="360" w:lineRule="auto"/>
        <w:ind w:firstLine="422" w:firstLineChars="200"/>
        <w:rPr>
          <w:rFonts w:ascii="Times New Roman" w:hAnsi="Times New Roman" w:cs="宋体"/>
          <w:color w:val="000000"/>
          <w:szCs w:val="21"/>
        </w:rPr>
      </w:pPr>
      <w:r>
        <w:rPr>
          <w:rFonts w:hint="eastAsia" w:ascii="Times New Roman" w:hAnsi="Times New Roman" w:cs="宋体"/>
          <w:b/>
          <w:bCs/>
          <w:color w:val="000000"/>
          <w:szCs w:val="21"/>
        </w:rPr>
        <w:t>一、采购方式：</w:t>
      </w:r>
      <w:r>
        <w:rPr>
          <w:rFonts w:hint="eastAsia" w:ascii="Times New Roman" w:hAnsi="Times New Roman" w:cs="宋体"/>
          <w:color w:val="000000"/>
          <w:szCs w:val="21"/>
        </w:rPr>
        <w:t>公开招标</w:t>
      </w:r>
    </w:p>
    <w:p>
      <w:pPr>
        <w:spacing w:line="360" w:lineRule="auto"/>
        <w:ind w:firstLine="422" w:firstLineChars="200"/>
        <w:rPr>
          <w:rFonts w:ascii="Times New Roman" w:hAnsi="Times New Roman" w:cs="宋体"/>
          <w:color w:val="000000"/>
          <w:szCs w:val="21"/>
        </w:rPr>
      </w:pPr>
      <w:r>
        <w:rPr>
          <w:rFonts w:hint="eastAsia" w:ascii="Times New Roman" w:hAnsi="Times New Roman" w:cs="宋体"/>
          <w:b/>
          <w:bCs/>
          <w:color w:val="000000"/>
          <w:szCs w:val="21"/>
        </w:rPr>
        <w:t>二、招标采购内容：</w:t>
      </w:r>
    </w:p>
    <w:p>
      <w:pPr>
        <w:spacing w:line="360" w:lineRule="auto"/>
        <w:ind w:firstLine="420" w:firstLineChars="200"/>
        <w:rPr>
          <w:rFonts w:ascii="Times New Roman" w:hAnsi="Times New Roman" w:cs="宋体"/>
          <w:bCs/>
          <w:color w:val="000000"/>
          <w:szCs w:val="21"/>
        </w:rPr>
      </w:pPr>
      <w:r>
        <w:rPr>
          <w:rFonts w:hint="eastAsia" w:ascii="Times New Roman" w:hAnsi="Times New Roman" w:cs="宋体"/>
          <w:bCs/>
          <w:color w:val="000000"/>
          <w:szCs w:val="21"/>
        </w:rPr>
        <w:t>2.1、一标段采购的是小型轮胎，装配在9米以下公交车型（轮胎行驶里程不得低于50000公里），适用于新能源汽车，采购金额约98万元。采购的轮胎具体规格、数量如下（各轮胎的速度级别、轮胎层级、轮胎花纹深度等要求详见招标文件第二章招标需求）：</w:t>
      </w:r>
    </w:p>
    <w:tbl>
      <w:tblPr>
        <w:tblStyle w:val="8"/>
        <w:tblW w:w="4545" w:type="pct"/>
        <w:jc w:val="center"/>
        <w:tblLayout w:type="autofit"/>
        <w:tblCellMar>
          <w:top w:w="0" w:type="dxa"/>
          <w:left w:w="108" w:type="dxa"/>
          <w:bottom w:w="0" w:type="dxa"/>
          <w:right w:w="108" w:type="dxa"/>
        </w:tblCellMar>
      </w:tblPr>
      <w:tblGrid>
        <w:gridCol w:w="747"/>
        <w:gridCol w:w="2572"/>
        <w:gridCol w:w="2012"/>
        <w:gridCol w:w="2415"/>
      </w:tblGrid>
      <w:tr>
        <w:tblPrEx>
          <w:tblCellMar>
            <w:top w:w="0" w:type="dxa"/>
            <w:left w:w="108" w:type="dxa"/>
            <w:bottom w:w="0" w:type="dxa"/>
            <w:right w:w="108" w:type="dxa"/>
          </w:tblCellMar>
        </w:tblPrEx>
        <w:trPr>
          <w:trHeight w:val="383" w:hRule="atLeast"/>
          <w:jc w:val="center"/>
        </w:trPr>
        <w:tc>
          <w:tcPr>
            <w:tcW w:w="5000" w:type="pct"/>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482"/>
              <w:jc w:val="center"/>
              <w:rPr>
                <w:rFonts w:ascii="Times New Roman" w:hAnsi="Times New Roman"/>
                <w:b/>
                <w:bCs/>
                <w:color w:val="000000"/>
                <w:kern w:val="0"/>
                <w:szCs w:val="21"/>
              </w:rPr>
            </w:pPr>
            <w:r>
              <w:rPr>
                <w:rFonts w:ascii="Times New Roman" w:hAnsi="Times New Roman"/>
                <w:b/>
                <w:bCs/>
                <w:color w:val="000000"/>
                <w:kern w:val="0"/>
                <w:szCs w:val="21"/>
              </w:rPr>
              <w:t>一标段</w:t>
            </w: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b/>
                <w:bCs/>
                <w:color w:val="000000"/>
                <w:kern w:val="0"/>
                <w:szCs w:val="21"/>
              </w:rPr>
            </w:pPr>
            <w:r>
              <w:rPr>
                <w:rFonts w:ascii="Times New Roman" w:hAnsi="Times New Roman"/>
                <w:b/>
                <w:bCs/>
                <w:color w:val="000000"/>
                <w:kern w:val="0"/>
                <w:szCs w:val="21"/>
              </w:rPr>
              <w:t>序号</w:t>
            </w:r>
          </w:p>
        </w:tc>
        <w:tc>
          <w:tcPr>
            <w:tcW w:w="1660" w:type="pct"/>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b/>
                <w:bCs/>
                <w:color w:val="000000"/>
                <w:kern w:val="0"/>
                <w:szCs w:val="21"/>
              </w:rPr>
            </w:pPr>
            <w:r>
              <w:rPr>
                <w:rFonts w:ascii="Times New Roman" w:hAnsi="Times New Roman"/>
                <w:b/>
                <w:bCs/>
                <w:color w:val="000000"/>
                <w:kern w:val="0"/>
                <w:szCs w:val="21"/>
              </w:rPr>
              <w:t>轮胎规格</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rPr>
                <w:rFonts w:ascii="Times New Roman" w:hAnsi="Times New Roman"/>
                <w:b/>
                <w:bCs/>
                <w:color w:val="000000"/>
                <w:kern w:val="0"/>
                <w:szCs w:val="21"/>
              </w:rPr>
            </w:pPr>
            <w:r>
              <w:rPr>
                <w:rFonts w:ascii="Times New Roman" w:hAnsi="Times New Roman"/>
                <w:b/>
                <w:bCs/>
                <w:color w:val="000000"/>
                <w:kern w:val="0"/>
                <w:szCs w:val="21"/>
              </w:rPr>
              <w:t>数量（套）</w:t>
            </w:r>
          </w:p>
        </w:tc>
        <w:tc>
          <w:tcPr>
            <w:tcW w:w="1559"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b/>
                <w:bCs/>
                <w:color w:val="000000"/>
                <w:kern w:val="0"/>
                <w:szCs w:val="21"/>
              </w:rPr>
            </w:pPr>
            <w:r>
              <w:rPr>
                <w:rFonts w:ascii="Times New Roman" w:hAnsi="Times New Roman"/>
                <w:b/>
                <w:bCs/>
                <w:color w:val="000000"/>
                <w:kern w:val="0"/>
                <w:szCs w:val="21"/>
              </w:rPr>
              <w:t>备注</w:t>
            </w: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1</w:t>
            </w:r>
          </w:p>
        </w:tc>
        <w:tc>
          <w:tcPr>
            <w:tcW w:w="1660" w:type="pct"/>
            <w:tcBorders>
              <w:top w:val="nil"/>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kern w:val="0"/>
                <w:szCs w:val="21"/>
              </w:rPr>
              <w:t>7.00R16</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20</w:t>
            </w:r>
          </w:p>
        </w:tc>
        <w:tc>
          <w:tcPr>
            <w:tcW w:w="1559" w:type="pct"/>
            <w:vMerge w:val="restart"/>
            <w:tcBorders>
              <w:top w:val="nil"/>
              <w:left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hint="eastAsia" w:ascii="Times New Roman" w:hAnsi="Times New Roman" w:cs="宋体"/>
                <w:bCs/>
                <w:color w:val="000000"/>
                <w:szCs w:val="21"/>
              </w:rPr>
              <w:t>小型轮胎，装配在9米以下公交车型（轮胎行驶里程不得低于50000公里），适用于新能源汽车</w:t>
            </w: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2</w:t>
            </w:r>
          </w:p>
        </w:tc>
        <w:tc>
          <w:tcPr>
            <w:tcW w:w="1660" w:type="pct"/>
            <w:tcBorders>
              <w:top w:val="nil"/>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185R15C</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18</w:t>
            </w:r>
          </w:p>
        </w:tc>
        <w:tc>
          <w:tcPr>
            <w:tcW w:w="1559" w:type="pct"/>
            <w:vMerge w:val="continue"/>
            <w:tcBorders>
              <w:left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3</w:t>
            </w:r>
          </w:p>
        </w:tc>
        <w:tc>
          <w:tcPr>
            <w:tcW w:w="1660" w:type="pct"/>
            <w:tcBorders>
              <w:top w:val="nil"/>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215/75R17.5</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136</w:t>
            </w:r>
          </w:p>
        </w:tc>
        <w:tc>
          <w:tcPr>
            <w:tcW w:w="1559" w:type="pct"/>
            <w:vMerge w:val="continue"/>
            <w:tcBorders>
              <w:left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4</w:t>
            </w:r>
          </w:p>
        </w:tc>
        <w:tc>
          <w:tcPr>
            <w:tcW w:w="1660" w:type="pct"/>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szCs w:val="21"/>
              </w:rPr>
              <w:t>255/70R22.5</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2</w:t>
            </w:r>
          </w:p>
        </w:tc>
        <w:tc>
          <w:tcPr>
            <w:tcW w:w="1559" w:type="pct"/>
            <w:vMerge w:val="continue"/>
            <w:tcBorders>
              <w:left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ascii="Times New Roman" w:hAnsi="Times New Roman"/>
                <w:color w:val="000000"/>
                <w:kern w:val="0"/>
                <w:szCs w:val="21"/>
              </w:rPr>
              <w:t>5</w:t>
            </w:r>
          </w:p>
        </w:tc>
        <w:tc>
          <w:tcPr>
            <w:tcW w:w="1660" w:type="pct"/>
            <w:tcBorders>
              <w:top w:val="nil"/>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265/70R19.5</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214</w:t>
            </w:r>
          </w:p>
        </w:tc>
        <w:tc>
          <w:tcPr>
            <w:tcW w:w="1559" w:type="pct"/>
            <w:vMerge w:val="continue"/>
            <w:tcBorders>
              <w:left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p>
        </w:tc>
      </w:tr>
      <w:tr>
        <w:tblPrEx>
          <w:tblCellMar>
            <w:top w:w="0" w:type="dxa"/>
            <w:left w:w="108" w:type="dxa"/>
            <w:bottom w:w="0" w:type="dxa"/>
            <w:right w:w="108" w:type="dxa"/>
          </w:tblCellMar>
        </w:tblPrEx>
        <w:trPr>
          <w:trHeight w:val="383" w:hRule="atLeast"/>
          <w:jc w:val="center"/>
        </w:trPr>
        <w:tc>
          <w:tcPr>
            <w:tcW w:w="482" w:type="pc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olor w:val="000000"/>
                <w:kern w:val="0"/>
                <w:szCs w:val="21"/>
              </w:rPr>
            </w:pPr>
            <w:r>
              <w:rPr>
                <w:rFonts w:hint="eastAsia" w:ascii="Times New Roman" w:hAnsi="Times New Roman"/>
                <w:color w:val="000000"/>
                <w:kern w:val="0"/>
                <w:szCs w:val="21"/>
              </w:rPr>
              <w:t>6</w:t>
            </w:r>
          </w:p>
        </w:tc>
        <w:tc>
          <w:tcPr>
            <w:tcW w:w="1660" w:type="pct"/>
            <w:tcBorders>
              <w:top w:val="nil"/>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275/70R22.5</w:t>
            </w:r>
          </w:p>
        </w:tc>
        <w:tc>
          <w:tcPr>
            <w:tcW w:w="1299" w:type="pct"/>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r>
              <w:rPr>
                <w:rFonts w:ascii="Times New Roman" w:hAnsi="Times New Roman"/>
                <w:color w:val="000000"/>
                <w:szCs w:val="21"/>
              </w:rPr>
              <w:t>400</w:t>
            </w:r>
          </w:p>
        </w:tc>
        <w:tc>
          <w:tcPr>
            <w:tcW w:w="1559" w:type="pct"/>
            <w:vMerge w:val="continue"/>
            <w:tcBorders>
              <w:left w:val="single" w:color="auto" w:sz="4" w:space="0"/>
              <w:bottom w:val="single" w:color="auto" w:sz="4" w:space="0"/>
              <w:right w:val="single" w:color="auto" w:sz="4" w:space="0"/>
            </w:tcBorders>
            <w:vAlign w:val="center"/>
          </w:tcPr>
          <w:p>
            <w:pPr>
              <w:widowControl/>
              <w:spacing w:line="360" w:lineRule="auto"/>
              <w:jc w:val="center"/>
              <w:textAlignment w:val="center"/>
              <w:rPr>
                <w:rFonts w:ascii="Times New Roman" w:hAnsi="Times New Roman"/>
                <w:color w:val="000000"/>
                <w:szCs w:val="21"/>
              </w:rPr>
            </w:pPr>
          </w:p>
        </w:tc>
      </w:tr>
    </w:tbl>
    <w:p>
      <w:pPr>
        <w:spacing w:line="360" w:lineRule="auto"/>
        <w:ind w:firstLine="420" w:firstLineChars="200"/>
        <w:rPr>
          <w:rFonts w:ascii="Times New Roman" w:hAnsi="Times New Roman" w:cs="宋体"/>
          <w:bCs/>
          <w:color w:val="000000"/>
          <w:szCs w:val="21"/>
        </w:rPr>
      </w:pPr>
      <w:r>
        <w:rPr>
          <w:rFonts w:hint="eastAsia" w:ascii="Times New Roman" w:hAnsi="Times New Roman" w:cs="宋体"/>
          <w:bCs/>
          <w:color w:val="000000"/>
          <w:szCs w:val="21"/>
        </w:rPr>
        <w:t>注：（1）上述数量为两年的暂估采购数量，以实际采购数量为准。</w:t>
      </w:r>
    </w:p>
    <w:p>
      <w:pPr>
        <w:spacing w:line="360" w:lineRule="auto"/>
        <w:ind w:firstLine="420" w:firstLineChars="200"/>
        <w:rPr>
          <w:rFonts w:ascii="Times New Roman" w:hAnsi="Times New Roman" w:cs="宋体"/>
          <w:bCs/>
          <w:color w:val="000000"/>
          <w:szCs w:val="21"/>
        </w:rPr>
      </w:pPr>
      <w:r>
        <w:rPr>
          <w:rFonts w:hint="eastAsia" w:ascii="Times New Roman" w:hAnsi="Times New Roman" w:cs="宋体"/>
          <w:bCs/>
          <w:color w:val="000000"/>
          <w:szCs w:val="21"/>
        </w:rPr>
        <w:t>（2）非真空胎规格轮胎包括内胎及衬带。</w:t>
      </w:r>
    </w:p>
    <w:p>
      <w:pPr>
        <w:spacing w:line="360" w:lineRule="auto"/>
        <w:ind w:firstLine="420" w:firstLineChars="200"/>
        <w:rPr>
          <w:rFonts w:ascii="Times New Roman" w:hAnsi="Times New Roman" w:cs="宋体"/>
          <w:bCs/>
          <w:color w:val="000000"/>
          <w:szCs w:val="21"/>
        </w:rPr>
      </w:pPr>
      <w:r>
        <w:rPr>
          <w:rFonts w:hint="eastAsia" w:ascii="Times New Roman" w:hAnsi="Times New Roman" w:cs="宋体"/>
          <w:bCs/>
          <w:color w:val="000000"/>
          <w:szCs w:val="21"/>
        </w:rPr>
        <w:t>2.2、本次招标合同期限：合同期二年（具体以合同签订时间为准），合同期内，采购人根据实际需求，分批次以书面通知方式确认每批次采购规格、数量，中标人按招标文件规定的期限、地点交货。</w:t>
      </w:r>
    </w:p>
    <w:p>
      <w:pPr>
        <w:spacing w:line="360" w:lineRule="auto"/>
        <w:ind w:firstLine="422" w:firstLineChars="200"/>
        <w:rPr>
          <w:rFonts w:ascii="Times New Roman" w:hAnsi="Times New Roman" w:cs="宋体"/>
          <w:b/>
          <w:bCs/>
          <w:color w:val="000000"/>
          <w:szCs w:val="21"/>
        </w:rPr>
      </w:pPr>
      <w:r>
        <w:rPr>
          <w:rFonts w:hint="eastAsia" w:ascii="Times New Roman" w:hAnsi="Times New Roman" w:cs="宋体"/>
          <w:b/>
          <w:bCs/>
          <w:color w:val="000000"/>
          <w:szCs w:val="21"/>
        </w:rPr>
        <w:t>三、合格投标人的资格要求</w:t>
      </w:r>
    </w:p>
    <w:p>
      <w:pPr>
        <w:spacing w:line="360" w:lineRule="auto"/>
        <w:ind w:firstLine="420" w:firstLineChars="200"/>
        <w:rPr>
          <w:rFonts w:ascii="Times New Roman" w:hAnsi="Times New Roman" w:cs="宋体"/>
          <w:color w:val="000000"/>
        </w:rPr>
      </w:pPr>
      <w:r>
        <w:rPr>
          <w:rFonts w:hint="eastAsia" w:ascii="Times New Roman" w:hAnsi="Times New Roman" w:cs="宋体"/>
          <w:color w:val="000000"/>
        </w:rPr>
        <w:t>3.1、本次采购要求投标人具有独立法人资格。</w:t>
      </w:r>
    </w:p>
    <w:p>
      <w:pPr>
        <w:spacing w:line="360" w:lineRule="auto"/>
        <w:ind w:firstLine="420" w:firstLineChars="200"/>
        <w:rPr>
          <w:rFonts w:ascii="Times New Roman" w:hAnsi="Times New Roman" w:cs="宋体"/>
          <w:color w:val="000000"/>
        </w:rPr>
      </w:pPr>
      <w:r>
        <w:rPr>
          <w:rFonts w:hint="eastAsia" w:ascii="Times New Roman" w:hAnsi="Times New Roman" w:cs="宋体"/>
          <w:color w:val="000000"/>
        </w:rPr>
        <w:t>3.2、具备相应资质和能力的轮胎生产厂家或生产厂家授权本项目投标的唯一代理商。</w:t>
      </w:r>
    </w:p>
    <w:p>
      <w:pPr>
        <w:spacing w:line="360" w:lineRule="auto"/>
        <w:ind w:firstLine="420" w:firstLineChars="200"/>
        <w:rPr>
          <w:rFonts w:ascii="Times New Roman" w:hAnsi="Times New Roman"/>
          <w:color w:val="000000"/>
          <w:szCs w:val="21"/>
        </w:rPr>
      </w:pPr>
      <w:r>
        <w:rPr>
          <w:rFonts w:hint="eastAsia" w:ascii="Times New Roman" w:hAnsi="Times New Roman" w:cs="宋体"/>
          <w:color w:val="000000"/>
        </w:rPr>
        <w:t>3.3、</w:t>
      </w:r>
      <w:r>
        <w:rPr>
          <w:rFonts w:hint="eastAsia" w:ascii="Times New Roman" w:hAnsi="Times New Roman"/>
          <w:color w:val="000000"/>
          <w:szCs w:val="21"/>
        </w:rPr>
        <w:t>投标人未被“信用中国”网站（http://www.creditchina.gov.cn）列入“严重失信主体名单”，未被“信用中国（浙江）”网站（http://credit.zj.gov.cn）列入“严重失信名单”，且未被“中国政府采购网”网站（www.ccgp.gov.cn）列入“政府采购严重违法失信行为记录名单”。</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3.4、</w:t>
      </w:r>
      <w:r>
        <w:rPr>
          <w:rFonts w:hint="eastAsia" w:ascii="宋体" w:hAnsi="宋体"/>
          <w:color w:val="000000"/>
          <w:szCs w:val="21"/>
        </w:rPr>
        <w:t>具有良好信誉和较强的售后服务能力；诚信经营、客户至上，无重大违法违纪和可能影响参与本次招投标的重大法律诉讼事项</w:t>
      </w:r>
      <w:r>
        <w:rPr>
          <w:rFonts w:hint="eastAsia" w:ascii="Times New Roman" w:hAnsi="Times New Roman"/>
          <w:color w:val="000000"/>
          <w:szCs w:val="21"/>
        </w:rPr>
        <w:t>。</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3.5、与招标人存在利害关系可能影响招标公正性的法人、其他组织或者个人，不得参加投标。单位负责人为同一人或者存在控股、管理关系的不同单位，不得参加同一标段投标或者未划分标段的同一招标项目投标。</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3.6、本次采购不接受联合体投标。</w:t>
      </w:r>
    </w:p>
    <w:p>
      <w:pPr>
        <w:spacing w:line="360" w:lineRule="auto"/>
        <w:ind w:firstLine="422" w:firstLineChars="200"/>
        <w:rPr>
          <w:rFonts w:ascii="Times New Roman" w:hAnsi="Times New Roman" w:cs="宋体"/>
          <w:color w:val="000000"/>
          <w:szCs w:val="21"/>
        </w:rPr>
      </w:pPr>
      <w:r>
        <w:rPr>
          <w:rFonts w:hint="eastAsia" w:ascii="Times New Roman" w:hAnsi="Times New Roman" w:cs="宋体"/>
          <w:b/>
          <w:bCs/>
          <w:color w:val="000000"/>
          <w:szCs w:val="21"/>
        </w:rPr>
        <w:t>四、招标文件的获取：</w:t>
      </w:r>
    </w:p>
    <w:p>
      <w:pPr>
        <w:shd w:val="clear" w:color="auto" w:fill="FFFFFF"/>
        <w:snapToGrid w:val="0"/>
        <w:spacing w:line="360" w:lineRule="auto"/>
        <w:ind w:firstLine="411" w:firstLineChars="196"/>
        <w:rPr>
          <w:rFonts w:ascii="Times New Roman" w:hAnsi="Times New Roman"/>
          <w:bCs/>
          <w:color w:val="000000"/>
          <w:szCs w:val="21"/>
        </w:rPr>
      </w:pPr>
      <w:r>
        <w:rPr>
          <w:rFonts w:hint="eastAsia" w:ascii="Times New Roman" w:hAnsi="Times New Roman"/>
          <w:bCs/>
          <w:color w:val="000000"/>
          <w:szCs w:val="21"/>
        </w:rPr>
        <w:t>1、获取招标文件时间：2024年2月28日至2024年3月7日9时00分止；</w:t>
      </w:r>
    </w:p>
    <w:p>
      <w:pPr>
        <w:shd w:val="clear" w:color="auto" w:fill="FFFFFF"/>
        <w:snapToGrid w:val="0"/>
        <w:spacing w:line="360" w:lineRule="auto"/>
        <w:ind w:firstLine="411" w:firstLineChars="196"/>
        <w:rPr>
          <w:rFonts w:ascii="Times New Roman" w:hAnsi="Times New Roman"/>
          <w:bCs/>
          <w:color w:val="000000"/>
          <w:szCs w:val="21"/>
        </w:rPr>
      </w:pPr>
      <w:r>
        <w:rPr>
          <w:rFonts w:hint="eastAsia" w:ascii="Times New Roman" w:hAnsi="Times New Roman"/>
          <w:bCs/>
          <w:color w:val="000000"/>
          <w:szCs w:val="21"/>
        </w:rPr>
        <w:t>2、获取招标文件方式：本项目招标文件实行“嘉兴禾采联综合采购服务平台”在线获取，不提供招标文件纸质版，请登陆嘉兴禾采联综合采购服务平台（http://www.jxcqgs.cn/jxcqcg/）—“供应商登录”，免费注册完成后，下载获取后缀名为“.JXCQZF”的发包文件等。注册咨询、技术服务电话：0573-82813680。</w:t>
      </w:r>
    </w:p>
    <w:p>
      <w:pPr>
        <w:shd w:val="clear" w:color="auto" w:fill="FFFFFF"/>
        <w:snapToGrid w:val="0"/>
        <w:spacing w:line="360" w:lineRule="auto"/>
        <w:ind w:firstLine="411" w:firstLineChars="196"/>
        <w:rPr>
          <w:rFonts w:ascii="Times New Roman" w:hAnsi="Times New Roman"/>
          <w:bCs/>
          <w:color w:val="000000"/>
          <w:szCs w:val="21"/>
        </w:rPr>
      </w:pPr>
      <w:r>
        <w:rPr>
          <w:rFonts w:hint="eastAsia" w:ascii="Times New Roman" w:hAnsi="Times New Roman"/>
          <w:bCs/>
          <w:color w:val="000000"/>
          <w:szCs w:val="21"/>
        </w:rPr>
        <w:t>注：请供应商按上述要求获取招标文件，如未在嘉兴禾采联综合采购服务平台系统内完成相关流程，引起的投标无效责任自担。</w:t>
      </w:r>
    </w:p>
    <w:p>
      <w:pPr>
        <w:shd w:val="clear" w:color="auto" w:fill="FFFFFF"/>
        <w:snapToGrid w:val="0"/>
        <w:spacing w:line="360" w:lineRule="auto"/>
        <w:ind w:firstLine="413" w:firstLineChars="196"/>
        <w:rPr>
          <w:rFonts w:ascii="Times New Roman" w:hAnsi="Times New Roman" w:cs="宋体"/>
          <w:color w:val="000000"/>
          <w:szCs w:val="21"/>
        </w:rPr>
      </w:pPr>
      <w:r>
        <w:rPr>
          <w:rFonts w:hint="eastAsia" w:ascii="Times New Roman" w:hAnsi="Times New Roman" w:cs="宋体"/>
          <w:b/>
          <w:bCs/>
          <w:color w:val="000000"/>
          <w:szCs w:val="21"/>
        </w:rPr>
        <w:t>五、投标保证金</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1、投标保证金：人民币捌仟元整</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2、投标人通过平台生成专用子账号，通过电脑在线划转，手机划转，柜台划转（注：不能通过现金直接存入）等缴纳保证金，应在投标截止时间前递交。</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3、投标保证金以保函形式递交的，应包括项目名称、保证金金额、有效期限（不少于投标有效期时间）、承诺不可撤销、承诺见索即付等内容，保函扫描件制作在投标文件内，并在投标截止时间前以扫描件（电子版）方式发送至1602394422@qq.com（以邮件接收时间为准）。</w:t>
      </w:r>
    </w:p>
    <w:p>
      <w:pPr>
        <w:numPr>
          <w:ilvl w:val="0"/>
          <w:numId w:val="1"/>
        </w:numPr>
        <w:spacing w:line="360" w:lineRule="auto"/>
        <w:ind w:left="210" w:leftChars="100" w:firstLine="211" w:firstLineChars="100"/>
        <w:rPr>
          <w:rFonts w:ascii="Times New Roman" w:hAnsi="Times New Roman" w:cs="宋体"/>
          <w:b/>
          <w:bCs/>
          <w:color w:val="000000"/>
          <w:szCs w:val="21"/>
        </w:rPr>
      </w:pPr>
      <w:r>
        <w:rPr>
          <w:rFonts w:hint="eastAsia" w:ascii="Times New Roman" w:hAnsi="Times New Roman" w:cs="宋体"/>
          <w:b/>
          <w:bCs/>
          <w:color w:val="000000"/>
          <w:szCs w:val="21"/>
        </w:rPr>
        <w:t>投标截止时间和地点、开标时间和地点：</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1、投标文件递交截止时间：</w:t>
      </w:r>
      <w:r>
        <w:rPr>
          <w:rFonts w:hint="eastAsia" w:ascii="Times New Roman" w:hAnsi="Times New Roman"/>
          <w:bCs/>
          <w:color w:val="000000"/>
          <w:szCs w:val="21"/>
        </w:rPr>
        <w:t>2024年3月7日9时00分</w:t>
      </w:r>
      <w:r>
        <w:rPr>
          <w:rFonts w:hint="eastAsia" w:ascii="Times New Roman" w:hAnsi="Times New Roman" w:cs="宋体"/>
          <w:color w:val="000000"/>
          <w:szCs w:val="21"/>
        </w:rPr>
        <w:t>（北京时间）</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2、开标时间：同投标文件递交截止时间。</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3、投标文件递交地址（网址）：请登陆嘉兴禾采联综合采购服务平台（http://www.jxcqgs.cn/jxcqcg/）—“供应商登录”，在投标截止时间前上传投标文件，提示上传成功即完成投标。本项目通过嘉兴禾采联综合采购服务平台投标制作软件编制并加密投标文件，投标人未按规定加密的投标文件，嘉兴禾采联综合采购服务平台将予以拒收。</w:t>
      </w:r>
    </w:p>
    <w:p>
      <w:pPr>
        <w:widowControl/>
        <w:jc w:val="left"/>
        <w:rPr>
          <w:rFonts w:ascii="Times New Roman" w:hAnsi="Times New Roman" w:cs="宋体"/>
          <w:color w:val="000000"/>
          <w:szCs w:val="21"/>
        </w:rPr>
      </w:pPr>
      <w:r>
        <w:rPr>
          <w:rFonts w:ascii="Times New Roman" w:hAnsi="Times New Roman" w:cs="宋体"/>
          <w:color w:val="000000"/>
          <w:szCs w:val="21"/>
        </w:rPr>
        <w:br w:type="page"/>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4、开标地址：本次招标采用远程不见面开标，请投标人在开标前提前登陆嘉兴禾采联综合采购服务平台（http://www.jxcqgs.cn/jxcqcg/）—“不见面开标”，登陆成功后，参与线上开标流程，完成在线解密。本项目解密时长为30分钟，如投标人未在规定时间内完成解密的，责任由投标人自负。</w:t>
      </w:r>
    </w:p>
    <w:p>
      <w:pPr>
        <w:spacing w:line="360" w:lineRule="auto"/>
        <w:ind w:firstLine="422" w:firstLineChars="200"/>
        <w:rPr>
          <w:rFonts w:ascii="Times New Roman" w:hAnsi="Times New Roman" w:cs="宋体"/>
          <w:b/>
          <w:color w:val="000000"/>
          <w:szCs w:val="21"/>
        </w:rPr>
      </w:pPr>
      <w:r>
        <w:rPr>
          <w:rFonts w:hint="eastAsia" w:ascii="Times New Roman" w:hAnsi="Times New Roman" w:cs="宋体"/>
          <w:b/>
          <w:color w:val="000000"/>
          <w:szCs w:val="21"/>
        </w:rPr>
        <w:t>注：相关制作软件及操作手册请在嘉兴禾采联综合采购服务平台首页办事指南及下载中心自行下载。</w:t>
      </w:r>
    </w:p>
    <w:p>
      <w:pPr>
        <w:numPr>
          <w:ilvl w:val="0"/>
          <w:numId w:val="1"/>
        </w:numPr>
        <w:spacing w:line="360" w:lineRule="auto"/>
        <w:ind w:left="210" w:leftChars="100" w:firstLine="211" w:firstLineChars="100"/>
        <w:rPr>
          <w:rFonts w:ascii="Times New Roman" w:hAnsi="Times New Roman" w:cs="宋体"/>
          <w:b/>
          <w:bCs/>
          <w:color w:val="000000"/>
          <w:szCs w:val="21"/>
        </w:rPr>
      </w:pPr>
      <w:r>
        <w:rPr>
          <w:rFonts w:hint="eastAsia" w:ascii="Times New Roman" w:hAnsi="Times New Roman" w:cs="宋体"/>
          <w:b/>
          <w:bCs/>
          <w:color w:val="000000"/>
          <w:szCs w:val="21"/>
        </w:rPr>
        <w:t>投标注意事项：</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远程不见面开标：是指将传统的开标场所搬到网上，招标人、投标人只需登录网上不见面开标大厅（http://www.jxcqgs.cn/BidOpening/bidhall/default/login），无需到达开标现场参与即可进行投标文件在线解密、投标人在线提问、招标人在线回复等操作。</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CA锁和嘉兴市公共资源交易系统通用。</w:t>
      </w:r>
    </w:p>
    <w:p>
      <w:pPr>
        <w:spacing w:line="360" w:lineRule="auto"/>
        <w:ind w:firstLine="422" w:firstLineChars="200"/>
        <w:rPr>
          <w:rFonts w:ascii="Times New Roman" w:hAnsi="Times New Roman" w:cs="宋体"/>
          <w:b/>
          <w:bCs/>
          <w:color w:val="000000"/>
          <w:szCs w:val="21"/>
        </w:rPr>
      </w:pPr>
      <w:r>
        <w:rPr>
          <w:rFonts w:hint="eastAsia" w:ascii="Times New Roman" w:hAnsi="Times New Roman" w:cs="宋体"/>
          <w:b/>
          <w:bCs/>
          <w:color w:val="000000"/>
          <w:szCs w:val="21"/>
        </w:rPr>
        <w:t>八、招标公告发布于：</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本次公开招标公告在嘉兴禾采联综合采购服务平台（http://www.jxcqgs.cn/jxcqcg/）、嘉兴市公共资源交易中心网（http://jxszwsjb.jiaxing.gov.cn/）和嘉兴市交通投资集团有限责任公司网站（http://www.jxjtjt.cn/）上同时发布。</w:t>
      </w:r>
    </w:p>
    <w:p>
      <w:pPr>
        <w:spacing w:line="360" w:lineRule="auto"/>
        <w:ind w:firstLine="422" w:firstLineChars="200"/>
        <w:rPr>
          <w:rFonts w:ascii="Times New Roman" w:hAnsi="Times New Roman" w:cs="宋体"/>
          <w:color w:val="000000"/>
          <w:szCs w:val="21"/>
        </w:rPr>
      </w:pPr>
      <w:r>
        <w:rPr>
          <w:rFonts w:hint="eastAsia" w:ascii="Times New Roman" w:hAnsi="Times New Roman" w:cs="宋体"/>
          <w:b/>
          <w:bCs/>
          <w:color w:val="000000"/>
          <w:szCs w:val="21"/>
        </w:rPr>
        <w:t>九、业务咨询：</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招 标 人：嘉兴市国鸿汽车运输有限公司</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地    址：嘉兴市万国路2056号</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联 系 人：沈先生</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电    话：0573-82227305</w:t>
      </w:r>
    </w:p>
    <w:p>
      <w:pPr>
        <w:spacing w:line="360" w:lineRule="auto"/>
        <w:ind w:firstLine="420" w:firstLineChars="200"/>
        <w:rPr>
          <w:rFonts w:ascii="Times New Roman" w:hAnsi="Times New Roman" w:cs="宋体"/>
          <w:color w:val="000000"/>
          <w:szCs w:val="21"/>
        </w:rPr>
      </w:pP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招标代理机构：浙江博宏工程管理咨询有限公司</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地    址：嘉兴市秀洲区东升西路1700号科技京城1幢6楼</w:t>
      </w:r>
    </w:p>
    <w:p>
      <w:pPr>
        <w:spacing w:line="360" w:lineRule="auto"/>
        <w:ind w:firstLine="420" w:firstLineChars="200"/>
        <w:rPr>
          <w:rFonts w:ascii="Times New Roman" w:hAnsi="Times New Roman" w:cs="宋体"/>
          <w:color w:val="000000"/>
          <w:szCs w:val="21"/>
        </w:rPr>
      </w:pPr>
      <w:r>
        <w:rPr>
          <w:rFonts w:hint="eastAsia" w:ascii="Times New Roman" w:hAnsi="Times New Roman" w:cs="宋体"/>
          <w:color w:val="000000"/>
          <w:szCs w:val="21"/>
        </w:rPr>
        <w:t>联 系 人：陈先生</w:t>
      </w:r>
    </w:p>
    <w:p>
      <w:pPr>
        <w:spacing w:line="360" w:lineRule="auto"/>
        <w:ind w:firstLine="420" w:firstLineChars="200"/>
        <w:rPr>
          <w:rFonts w:ascii="Times New Roman" w:hAnsi="Times New Roman"/>
          <w:color w:val="000000"/>
          <w:szCs w:val="21"/>
        </w:rPr>
      </w:pPr>
      <w:r>
        <w:rPr>
          <w:rFonts w:ascii="Times New Roman" w:hAnsi="Times New Roman"/>
          <w:color w:val="000000"/>
          <w:szCs w:val="21"/>
        </w:rPr>
        <w:t>电    话：15868126391</w:t>
      </w:r>
    </w:p>
    <w:p>
      <w:pPr>
        <w:spacing w:line="360" w:lineRule="auto"/>
        <w:ind w:firstLine="420" w:firstLineChars="200"/>
        <w:rPr>
          <w:rFonts w:ascii="Times New Roman" w:hAnsi="Times New Roman"/>
          <w:color w:val="000000"/>
          <w:szCs w:val="21"/>
        </w:rPr>
      </w:pPr>
      <w:r>
        <w:rPr>
          <w:rFonts w:ascii="Times New Roman" w:hAnsi="Times New Roman"/>
          <w:color w:val="000000"/>
          <w:szCs w:val="21"/>
        </w:rPr>
        <w:t>电子邮箱：</w:t>
      </w:r>
      <w:r>
        <w:fldChar w:fldCharType="begin"/>
      </w:r>
      <w:r>
        <w:instrText xml:space="preserve"> HYPERLINK "mailto:1602394422@qq.com" </w:instrText>
      </w:r>
      <w:r>
        <w:fldChar w:fldCharType="separate"/>
      </w:r>
      <w:r>
        <w:rPr>
          <w:rFonts w:ascii="Times New Roman" w:hAnsi="Times New Roman"/>
          <w:color w:val="000000"/>
        </w:rPr>
        <w:t>1602394422@qq.com</w:t>
      </w:r>
      <w:r>
        <w:rPr>
          <w:rFonts w:ascii="Times New Roman" w:hAnsi="Times New Roman"/>
          <w:color w:val="000000"/>
        </w:rPr>
        <w:fldChar w:fldCharType="end"/>
      </w:r>
    </w:p>
    <w:p>
      <w:pPr>
        <w:spacing w:line="360" w:lineRule="auto"/>
        <w:ind w:firstLine="420" w:firstLineChars="200"/>
        <w:rPr>
          <w:rFonts w:ascii="Times New Roman" w:hAnsi="Times New Roman"/>
          <w:color w:val="000000"/>
          <w:szCs w:val="21"/>
        </w:rPr>
      </w:pP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监督部门1：嘉兴市交通投资集团有限公司审计风控部</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联    址：嘉兴市南湖大道902号</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电    话：0573-82871355</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监督部门2：嘉兴市国鸿汽车运输有限公司经营管理部</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联    址：嘉兴市万国路2056号</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电    话：0573-82084410</w:t>
      </w:r>
    </w:p>
    <w:p>
      <w:pPr>
        <w:spacing w:line="360" w:lineRule="auto"/>
        <w:ind w:firstLine="420" w:firstLineChars="200"/>
        <w:rPr>
          <w:rFonts w:ascii="Times New Roman" w:hAnsi="Times New Roman"/>
          <w:color w:val="000000"/>
          <w:szCs w:val="21"/>
        </w:rPr>
      </w:pP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嘉兴禾采联综合采购服务平台联系电话：0573-82816090</w:t>
      </w:r>
    </w:p>
    <w:p>
      <w:pPr>
        <w:spacing w:line="360" w:lineRule="auto"/>
        <w:ind w:firstLine="420" w:firstLineChars="200"/>
        <w:rPr>
          <w:rFonts w:ascii="Times New Roman" w:hAnsi="Times New Roman"/>
          <w:color w:val="000000"/>
          <w:szCs w:val="21"/>
        </w:rPr>
      </w:pPr>
      <w:r>
        <w:rPr>
          <w:rFonts w:hint="eastAsia" w:ascii="Times New Roman" w:hAnsi="Times New Roman"/>
          <w:color w:val="000000"/>
          <w:szCs w:val="21"/>
        </w:rPr>
        <w:t>嘉兴禾采联综合采购服务平台技术支持电话：0573-82813680</w:t>
      </w:r>
    </w:p>
    <w:p>
      <w:pPr>
        <w:spacing w:line="360" w:lineRule="auto"/>
        <w:rPr>
          <w:rFonts w:ascii="Times New Roman" w:hAnsi="Times New Roman" w:cs="宋体"/>
          <w:color w:val="000000"/>
          <w:szCs w:val="21"/>
        </w:rPr>
      </w:pPr>
    </w:p>
    <w:p>
      <w:pPr>
        <w:pStyle w:val="7"/>
        <w:spacing w:after="0" w:line="360" w:lineRule="auto"/>
        <w:rPr>
          <w:color w:val="000000"/>
        </w:rPr>
      </w:pPr>
    </w:p>
    <w:p>
      <w:pPr>
        <w:spacing w:line="360" w:lineRule="auto"/>
        <w:ind w:firstLine="420" w:firstLineChars="200"/>
        <w:jc w:val="right"/>
        <w:rPr>
          <w:rFonts w:ascii="Times New Roman" w:hAnsi="Times New Roman" w:cs="宋体"/>
          <w:color w:val="000000"/>
          <w:szCs w:val="21"/>
        </w:rPr>
      </w:pPr>
    </w:p>
    <w:p>
      <w:pPr>
        <w:spacing w:line="360" w:lineRule="auto"/>
        <w:jc w:val="right"/>
      </w:pPr>
      <w:r>
        <w:rPr>
          <w:rFonts w:hint="eastAsia" w:ascii="Times New Roman" w:hAnsi="Times New Roman" w:cs="宋体"/>
          <w:color w:val="000000"/>
          <w:szCs w:val="21"/>
        </w:rPr>
        <w:t>2024年2月28日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736BC6"/>
    <w:multiLevelType w:val="singleLevel"/>
    <w:tmpl w:val="4F736BC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F2C"/>
    <w:rsid w:val="000C2689"/>
    <w:rsid w:val="001109DA"/>
    <w:rsid w:val="00161921"/>
    <w:rsid w:val="00171C1D"/>
    <w:rsid w:val="001C07FE"/>
    <w:rsid w:val="00213840"/>
    <w:rsid w:val="00272AEA"/>
    <w:rsid w:val="002D3F2C"/>
    <w:rsid w:val="005B3C20"/>
    <w:rsid w:val="005B761A"/>
    <w:rsid w:val="00E60342"/>
    <w:rsid w:val="00F84976"/>
    <w:rsid w:val="23813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lock Text"/>
    <w:basedOn w:val="1"/>
    <w:semiHidden/>
    <w:unhideWhenUsed/>
    <w:uiPriority w:val="99"/>
    <w:pPr>
      <w:spacing w:after="120"/>
      <w:ind w:left="1440" w:leftChars="700" w:right="1440" w:rightChars="700"/>
    </w:pPr>
  </w:style>
  <w:style w:type="paragraph" w:styleId="3">
    <w:name w:val="Body Text Indent"/>
    <w:basedOn w:val="1"/>
    <w:link w:val="13"/>
    <w:semiHidden/>
    <w:unhideWhenUsed/>
    <w:uiPriority w:val="99"/>
    <w:pPr>
      <w:spacing w:after="120"/>
      <w:ind w:left="420" w:leftChars="200"/>
    </w:p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2"/>
    <w:qFormat/>
    <w:uiPriority w:val="0"/>
    <w:pPr>
      <w:spacing w:before="240" w:after="60"/>
      <w:jc w:val="center"/>
      <w:outlineLvl w:val="0"/>
    </w:pPr>
    <w:rPr>
      <w:rFonts w:ascii="Cambria" w:hAnsi="Cambria"/>
      <w:b/>
      <w:bCs/>
      <w:sz w:val="32"/>
      <w:szCs w:val="32"/>
    </w:rPr>
  </w:style>
  <w:style w:type="paragraph" w:styleId="7">
    <w:name w:val="Body Text First Indent 2"/>
    <w:basedOn w:val="3"/>
    <w:link w:val="14"/>
    <w:qFormat/>
    <w:uiPriority w:val="99"/>
    <w:pPr>
      <w:spacing w:line="200" w:lineRule="exact"/>
      <w:ind w:firstLine="420"/>
    </w:pPr>
    <w:rPr>
      <w:rFonts w:ascii="宋体" w:hAnsi="Courier New" w:cs="宋体"/>
      <w:spacing w:val="-4"/>
      <w:sz w:val="18"/>
      <w:szCs w:val="21"/>
    </w:rPr>
  </w:style>
  <w:style w:type="character" w:customStyle="1" w:styleId="10">
    <w:name w:val="页眉 Char"/>
    <w:basedOn w:val="9"/>
    <w:link w:val="5"/>
    <w:uiPriority w:val="99"/>
    <w:rPr>
      <w:sz w:val="18"/>
      <w:szCs w:val="18"/>
    </w:rPr>
  </w:style>
  <w:style w:type="character" w:customStyle="1" w:styleId="11">
    <w:name w:val="页脚 Char"/>
    <w:basedOn w:val="9"/>
    <w:link w:val="4"/>
    <w:uiPriority w:val="99"/>
    <w:rPr>
      <w:sz w:val="18"/>
      <w:szCs w:val="18"/>
    </w:rPr>
  </w:style>
  <w:style w:type="character" w:customStyle="1" w:styleId="12">
    <w:name w:val="标题 Char"/>
    <w:basedOn w:val="9"/>
    <w:link w:val="6"/>
    <w:uiPriority w:val="0"/>
    <w:rPr>
      <w:rFonts w:ascii="Cambria" w:hAnsi="Cambria" w:eastAsia="宋体" w:cs="Times New Roman"/>
      <w:b/>
      <w:bCs/>
      <w:sz w:val="32"/>
      <w:szCs w:val="32"/>
    </w:rPr>
  </w:style>
  <w:style w:type="character" w:customStyle="1" w:styleId="13">
    <w:name w:val="正文文本缩进 Char"/>
    <w:basedOn w:val="9"/>
    <w:link w:val="3"/>
    <w:semiHidden/>
    <w:uiPriority w:val="99"/>
    <w:rPr>
      <w:rFonts w:ascii="Calibri" w:hAnsi="Calibri" w:eastAsia="宋体" w:cs="Times New Roman"/>
      <w:szCs w:val="24"/>
    </w:rPr>
  </w:style>
  <w:style w:type="character" w:customStyle="1" w:styleId="14">
    <w:name w:val="正文首行缩进 2 Char"/>
    <w:basedOn w:val="13"/>
    <w:link w:val="7"/>
    <w:uiPriority w:val="99"/>
    <w:rPr>
      <w:rFonts w:ascii="宋体" w:hAnsi="Courier New" w:eastAsia="宋体" w:cs="宋体"/>
      <w:spacing w:val="-4"/>
      <w:sz w:val="18"/>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402</Words>
  <Characters>2296</Characters>
  <Lines>19</Lines>
  <Paragraphs>5</Paragraphs>
  <TotalTime>4</TotalTime>
  <ScaleCrop>false</ScaleCrop>
  <LinksUpToDate>false</LinksUpToDate>
  <CharactersWithSpaces>2693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2023-12-13T11:03:00Z</dcterms:created>
  <dc:creator>user</dc:creator>
  <cp:lastModifiedBy>冯晓燕(fengxy)</cp:lastModifiedBy>
  <dcterms:modified xsi:type="dcterms:W3CDTF">2024-02-28T02:06:37Z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