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ascii="Segoe UI" w:hAnsi="Segoe UI" w:eastAsia="Segoe UI" w:cs="Segoe UI"/>
          <w:i w:val="0"/>
          <w:iCs w:val="0"/>
          <w:caps w:val="0"/>
          <w:color w:val="333333"/>
          <w:spacing w:val="0"/>
          <w:sz w:val="14"/>
          <w:szCs w:val="1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2023-2025嘉通集团所辖高速公路结算审核服务入围库招标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入围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</w:rPr>
        <w:t>中标公告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0" w:lineRule="atLeast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  <w:t>项目编号：jxgq202401065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0" w:lineRule="atLeast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  <w:t>项目名称：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lang w:eastAsia="zh-CN"/>
        </w:rPr>
        <w:t>2023-2025嘉通集团所辖高速公路结算审核服务入围库招标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0" w:lineRule="atLeast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  <w:t>招标人：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lang w:eastAsia="zh-CN"/>
        </w:rPr>
        <w:t>嘉兴市申嘉湖高速公路投资开发有限公司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0" w:lineRule="atLeast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  <w:t>招标代理机构：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lang w:eastAsia="zh-CN"/>
        </w:rPr>
        <w:t>科信联合工程咨询有限公司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0" w:lineRule="atLeast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  <w:t>招标方式：公开招标</w:t>
      </w:r>
    </w:p>
    <w:tbl>
      <w:tblPr>
        <w:tblStyle w:val="3"/>
        <w:tblpPr w:leftFromText="180" w:rightFromText="180" w:vertAnchor="text" w:horzAnchor="page" w:tblpX="1793" w:tblpY="298"/>
        <w:tblOverlap w:val="never"/>
        <w:tblW w:w="86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8"/>
        <w:gridCol w:w="2091"/>
        <w:gridCol w:w="1472"/>
        <w:gridCol w:w="955"/>
        <w:gridCol w:w="29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8" w:hRule="atLeast"/>
        </w:trPr>
        <w:tc>
          <w:tcPr>
            <w:tcW w:w="1268" w:type="dxa"/>
            <w:noWrap w:val="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编号</w:t>
            </w:r>
          </w:p>
        </w:tc>
        <w:tc>
          <w:tcPr>
            <w:tcW w:w="2091" w:type="dxa"/>
            <w:noWrap w:val="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名称</w:t>
            </w:r>
          </w:p>
        </w:tc>
        <w:tc>
          <w:tcPr>
            <w:tcW w:w="1472" w:type="dxa"/>
            <w:noWrap w:val="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中标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入围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单位</w:t>
            </w:r>
          </w:p>
        </w:tc>
        <w:tc>
          <w:tcPr>
            <w:tcW w:w="955" w:type="dxa"/>
            <w:noWrap w:val="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报价费率%</w:t>
            </w:r>
          </w:p>
        </w:tc>
        <w:tc>
          <w:tcPr>
            <w:tcW w:w="2909" w:type="dxa"/>
            <w:noWrap w:val="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服务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3" w:hRule="atLeast"/>
        </w:trPr>
        <w:tc>
          <w:tcPr>
            <w:tcW w:w="1268" w:type="dxa"/>
            <w:noWrap w:val="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jxgq202401065</w:t>
            </w:r>
          </w:p>
        </w:tc>
        <w:tc>
          <w:tcPr>
            <w:tcW w:w="2091" w:type="dxa"/>
            <w:noWrap w:val="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2023-2025嘉通集团所辖高速公路结算审核服务入围库招标</w:t>
            </w:r>
          </w:p>
        </w:tc>
        <w:tc>
          <w:tcPr>
            <w:tcW w:w="1472" w:type="dxa"/>
            <w:noWrap w:val="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2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2"/>
                <w:sz w:val="19"/>
                <w:szCs w:val="19"/>
                <w:lang w:val="en-US" w:eastAsia="zh-CN" w:bidi="ar-SA"/>
              </w:rPr>
              <w:t>浙江天平投资咨询有限公司</w:t>
            </w:r>
          </w:p>
        </w:tc>
        <w:tc>
          <w:tcPr>
            <w:tcW w:w="955" w:type="dxa"/>
            <w:noWrap w:val="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60%</w:t>
            </w:r>
          </w:p>
        </w:tc>
        <w:tc>
          <w:tcPr>
            <w:tcW w:w="2909" w:type="dxa"/>
            <w:noWrap w:val="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2"/>
                <w:sz w:val="19"/>
                <w:szCs w:val="19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2"/>
                <w:sz w:val="19"/>
                <w:szCs w:val="19"/>
                <w:lang w:val="en-US" w:eastAsia="zh-CN" w:bidi="ar-SA"/>
              </w:rPr>
              <w:t>自合同签订之日起至2025年12月31日或审计费用超200万后项目自动结束，具体单项工程服务期以业主委托为准。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3" w:hRule="atLeast"/>
        </w:trPr>
        <w:tc>
          <w:tcPr>
            <w:tcW w:w="1268" w:type="dxa"/>
            <w:noWrap w:val="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jxgq202401065</w:t>
            </w:r>
          </w:p>
        </w:tc>
        <w:tc>
          <w:tcPr>
            <w:tcW w:w="2091" w:type="dxa"/>
            <w:noWrap w:val="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2023-2025嘉通集团所辖高速公路结算审核服务入围库招标</w:t>
            </w:r>
          </w:p>
        </w:tc>
        <w:tc>
          <w:tcPr>
            <w:tcW w:w="1472" w:type="dxa"/>
            <w:noWrap w:val="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2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2"/>
                <w:sz w:val="19"/>
                <w:szCs w:val="19"/>
                <w:lang w:val="en-US" w:eastAsia="zh-CN" w:bidi="ar-SA"/>
              </w:rPr>
              <w:t>嘉兴市建新工程造价咨询事务所有限公司</w:t>
            </w:r>
          </w:p>
        </w:tc>
        <w:tc>
          <w:tcPr>
            <w:tcW w:w="955" w:type="dxa"/>
            <w:noWrap w:val="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60%</w:t>
            </w:r>
          </w:p>
        </w:tc>
        <w:tc>
          <w:tcPr>
            <w:tcW w:w="2909" w:type="dxa"/>
            <w:noWrap w:val="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2"/>
                <w:sz w:val="19"/>
                <w:szCs w:val="19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2"/>
                <w:sz w:val="19"/>
                <w:szCs w:val="19"/>
                <w:lang w:val="en-US" w:eastAsia="zh-CN" w:bidi="ar-SA"/>
              </w:rPr>
              <w:t>自合同签订之日起至2025年12月31日或审计费用超200万后项目自动结束，具体单项工程服务期以业主委托为准。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7" w:hRule="atLeast"/>
        </w:trPr>
        <w:tc>
          <w:tcPr>
            <w:tcW w:w="1268" w:type="dxa"/>
            <w:noWrap w:val="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jxgq202401065</w:t>
            </w:r>
          </w:p>
        </w:tc>
        <w:tc>
          <w:tcPr>
            <w:tcW w:w="2091" w:type="dxa"/>
            <w:noWrap w:val="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2023-2025嘉通集团所辖高速公路结算审核服务入围库招标</w:t>
            </w:r>
          </w:p>
        </w:tc>
        <w:tc>
          <w:tcPr>
            <w:tcW w:w="1472" w:type="dxa"/>
            <w:noWrap w:val="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2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2"/>
                <w:sz w:val="19"/>
                <w:szCs w:val="19"/>
                <w:lang w:val="en-US" w:eastAsia="zh-CN" w:bidi="ar-SA"/>
              </w:rPr>
              <w:t>浙江中磊工程咨询有限公司</w:t>
            </w:r>
          </w:p>
        </w:tc>
        <w:tc>
          <w:tcPr>
            <w:tcW w:w="955" w:type="dxa"/>
            <w:noWrap w:val="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60%</w:t>
            </w:r>
          </w:p>
        </w:tc>
        <w:tc>
          <w:tcPr>
            <w:tcW w:w="2909" w:type="dxa"/>
            <w:noWrap w:val="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2"/>
                <w:sz w:val="19"/>
                <w:szCs w:val="19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2"/>
                <w:sz w:val="19"/>
                <w:szCs w:val="19"/>
                <w:lang w:val="en-US" w:eastAsia="zh-CN" w:bidi="ar-SA"/>
              </w:rPr>
              <w:t>自合同签订之日起至2025年12月31日或审计费用超200万后项目自动结束，具体单项工程服务期以业主委托为准。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0" w:lineRule="atLeast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  <w:t>公告开始时间：2024年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19"/>
          <w:szCs w:val="19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  <w:t>月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19"/>
          <w:szCs w:val="19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  <w:t>日            公告结束时间：2024年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19"/>
          <w:szCs w:val="19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  <w:t>月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19"/>
          <w:szCs w:val="19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  <w:t>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0" w:lineRule="atLeast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  <w:t>其他说明：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kYmIxYjVjNjE1YTYwMzQzZDIyOTY2ZDMxYjJlMDkifQ=="/>
  </w:docVars>
  <w:rsids>
    <w:rsidRoot w:val="206A21CC"/>
    <w:rsid w:val="206A2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2024-02-05T06:12:00Z</dcterms:created>
  <dc:creator>谢尚</dc:creator>
  <cp:lastModifiedBy>谢尚</cp:lastModifiedBy>
  <dcterms:modified xsi:type="dcterms:W3CDTF">2024-02-05T06:13:20Z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63F169952D824F7D93E10A6C952D704B_11</vt:lpwstr>
  </property>
</Properties>
</file>