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numPr>
          <w:ilvl w:val="0"/>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bookmarkStart w:id="0" w:name="_GoBack"/>
      <w:r>
        <w:rPr>
          <w:rFonts w:hint="eastAsia" w:ascii="宋体" w:hAnsi="宋体" w:eastAsia="宋体" w:cs="Times New Roman"/>
          <w:color w:val="000000"/>
          <w:kern w:val="0"/>
          <w:sz w:val="18"/>
          <w:szCs w:val="18"/>
        </w:rPr>
        <w:t>嘉通集团所辖高速公路2023年度桥梁病害维修处治招标公告</w:t>
      </w:r>
    </w:p>
    <w:bookmarkEnd w:id="0"/>
    <w:p>
      <w:pPr>
        <w:widowControl/>
        <w:numPr>
          <w:ilvl w:val="0"/>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p>
    <w:p>
      <w:pPr>
        <w:widowControl/>
        <w:numPr>
          <w:ilvl w:val="0"/>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1．招标条件</w:t>
      </w:r>
    </w:p>
    <w:p>
      <w:pPr>
        <w:widowControl/>
        <w:numPr>
          <w:ilvl w:val="0"/>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本招标项目嘉通集团所辖高速公路2023年度桥梁病害维修处治（项目名称），已由嘉通集团（项目审批、核准或备案机关名称）批准建设。养护资金来源为：业主自筹。招标人为浙江杭浦高速公路有限公司（受嘉兴市嘉绍高速公路投资开发有限责任公司、浙江杭浦高速公路有限公司、嘉兴市申嘉湖高速公路投资开发有限公司、嘉兴市杭州湾大桥投资开发有限责任公司的联合委托，浙江杭浦高速公路有限公司负责本项目的建设管理和招标采购事宜，即项目招标人。）项目已具备招标条件，现对本项目的施工进行公开招标，并实行资格后审。</w:t>
      </w:r>
    </w:p>
    <w:p>
      <w:pPr>
        <w:widowControl/>
        <w:numPr>
          <w:ilvl w:val="0"/>
          <w:numId w:val="1"/>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项目概况与招标范围</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2.1本次招标项目的建设地点：杭浦高速公路、嘉绍高速公路（含北岸接线、南湖互通)、申嘉湖高速公路（嘉兴段）、杭州湾跨海大桥北接线。</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2.2 技术标准：杭浦高速公路，嘉绍高速公路（含北岸接线、南湖互通)，申嘉湖高速公路（嘉兴段），杭州湾跨海大桥北接线为高速公路标准。</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2.3标段划分：本项目共设二个施工标段。杭浦高速公路，嘉绍高速公路（含北岸接线、南湖互通)为一标段；申嘉湖高速公路（嘉兴段），杭州湾跨海大桥北接线为二标段。</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2.4建设规模及招标范围：</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2.4.1建设规模</w:t>
      </w:r>
      <w:r>
        <w:rPr>
          <w:rFonts w:hint="eastAsia" w:ascii="宋体" w:hAnsi="宋体" w:eastAsia="宋体" w:cs="Times New Roman"/>
          <w:color w:val="000000"/>
          <w:kern w:val="0"/>
          <w:sz w:val="18"/>
          <w:szCs w:val="18"/>
          <w:lang w:eastAsia="zh-CN"/>
        </w:rPr>
        <w:t>：</w:t>
      </w:r>
      <w:r>
        <w:rPr>
          <w:rFonts w:hint="eastAsia" w:ascii="宋体" w:hAnsi="宋体" w:eastAsia="宋体" w:cs="Times New Roman"/>
          <w:color w:val="000000"/>
          <w:kern w:val="0"/>
          <w:sz w:val="18"/>
          <w:szCs w:val="18"/>
        </w:rPr>
        <w:t xml:space="preserve"> 杭浦高速公路（浙江段)：杭浦高速公路（浙江段）路线全长112.692km，工程起点为杭州绕城高速公路北线的大井互通，起点桩号为K2+900，终于浙江省与上海市交界处的界河，终点桩号为K111+419；嘉绍高速公路（北岸接线、南湖互通)：嘉绍高速公路（北岸接线）路线全长43.2615km，工程起点为乍嘉苏高速公路与嘉兴南湖大道交叉处的南湖互通</w:t>
      </w:r>
      <w:r>
        <w:rPr>
          <w:rFonts w:hint="eastAsia" w:ascii="宋体" w:hAnsi="宋体" w:eastAsia="宋体" w:cs="Times New Roman"/>
          <w:color w:val="000000"/>
          <w:kern w:val="0"/>
          <w:sz w:val="18"/>
          <w:szCs w:val="18"/>
          <w:lang w:eastAsia="zh-CN"/>
        </w:rPr>
        <w:t>，</w:t>
      </w:r>
      <w:r>
        <w:rPr>
          <w:rFonts w:hint="eastAsia" w:ascii="宋体" w:hAnsi="宋体" w:eastAsia="宋体" w:cs="Times New Roman"/>
          <w:color w:val="000000"/>
          <w:kern w:val="0"/>
          <w:sz w:val="18"/>
          <w:szCs w:val="18"/>
        </w:rPr>
        <w:t>起点桩号为KO+000</w:t>
      </w:r>
      <w:r>
        <w:rPr>
          <w:rFonts w:hint="eastAsia" w:ascii="宋体" w:hAnsi="宋体" w:eastAsia="宋体" w:cs="Times New Roman"/>
          <w:color w:val="000000"/>
          <w:kern w:val="0"/>
          <w:sz w:val="18"/>
          <w:szCs w:val="18"/>
          <w:lang w:eastAsia="zh-CN"/>
        </w:rPr>
        <w:t>，</w:t>
      </w:r>
      <w:r>
        <w:rPr>
          <w:rFonts w:hint="eastAsia" w:ascii="宋体" w:hAnsi="宋体" w:eastAsia="宋体" w:cs="Times New Roman"/>
          <w:color w:val="000000"/>
          <w:kern w:val="0"/>
          <w:sz w:val="18"/>
          <w:szCs w:val="18"/>
        </w:rPr>
        <w:t>终于海宁尖山互通</w:t>
      </w:r>
      <w:r>
        <w:rPr>
          <w:rFonts w:hint="eastAsia" w:ascii="宋体" w:hAnsi="宋体" w:eastAsia="宋体" w:cs="Times New Roman"/>
          <w:color w:val="000000"/>
          <w:kern w:val="0"/>
          <w:sz w:val="18"/>
          <w:szCs w:val="18"/>
        </w:rPr>
        <w:br w:type="textWrapping"/>
      </w:r>
      <w:r>
        <w:rPr>
          <w:rFonts w:hint="eastAsia" w:ascii="宋体" w:hAnsi="宋体" w:eastAsia="宋体" w:cs="Times New Roman"/>
          <w:color w:val="000000"/>
          <w:kern w:val="0"/>
          <w:sz w:val="18"/>
          <w:szCs w:val="18"/>
        </w:rPr>
        <w:t>终点桩号为K43+261.5；申嘉湖高速公路（嘉兴段)：申嘉湖高速公路嘉兴段全长 59.1km，其中嘉兴段长58.774km，上海境内长0.100km，湖州境内长0.226km。杭州湾跨海大桥北岸连接线一期：杭州湾跨海大桥北岸连接线工程起点为嘉通高速公路与沪杭高速公路节点步云枢纽，终于跨海大桥北岸引线起点</w:t>
      </w:r>
      <w:r>
        <w:rPr>
          <w:rFonts w:hint="eastAsia" w:ascii="宋体" w:hAnsi="宋体" w:eastAsia="宋体" w:cs="Times New Roman"/>
          <w:color w:val="000000"/>
          <w:kern w:val="0"/>
          <w:sz w:val="18"/>
          <w:szCs w:val="18"/>
          <w:lang w:eastAsia="zh-CN"/>
        </w:rPr>
        <w:t>，</w:t>
      </w:r>
      <w:r>
        <w:rPr>
          <w:rFonts w:hint="eastAsia" w:ascii="宋体" w:hAnsi="宋体" w:eastAsia="宋体" w:cs="Times New Roman"/>
          <w:color w:val="000000"/>
          <w:kern w:val="0"/>
          <w:sz w:val="18"/>
          <w:szCs w:val="18"/>
        </w:rPr>
        <w:t>全长约24.785km。</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2.4.2一标段招标范围: 对二条高速298座桥梁（其中杭浦高速公路（浙江段)241座、嘉绍高速公路（北岸接线、南湖互通)57座）的桥梁混凝土表面裂缝封闭和灌胶、混凝土缺陷修补、钢筋除锈补锈、横隔板黏贴钢板、整体顶升、更换板式和盆式橡胶支座及新增钢结构限位装置等维修加固处置的施工及缺陷责任期修复。</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二标段招标范围：对二条高速173座桥梁（其中申嘉湖高速公路（嘉兴段)111座和杭州湾跨海大桥北岸连接线一期62座）的桥梁混凝土表面裂缝封闭和灌胶、混凝土缺陷修补、钢筋除锈补锈、横隔板黏贴钢板、整体顶升、更换板式和盆式橡胶支座及新增钢结构限位装置等维修加固处置的施工及缺陷责任期修复。</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本项目投资估算约1861万元。</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本项目的中标人分别与浙江杭浦高速公路有限公司、嘉兴市杭州湾大桥投资开发有限责任公司、嘉兴市申嘉湖高速公路投资开发有限公司、嘉兴市嘉绍高速公路投资开发有限责任公司签订合同协议书。</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2.5一、二标段计划工期：150日历天；缺陷责任期：24个月。</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2.6一、二标段质量目标：交（竣）工验收的质量评定：合格。</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3．投标人资格要求</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3.1本次招标要求投标人须具备独立法人资格，具有公路养护工程一类甲级或桥梁养护甲级或特种专业工程专业承包（含结构补强）资质。自2018年1月1日以来（以实际交工日期为准），完成过一个合同金额500万元及以上的高速公路桥梁维修（或加固）业绩。并在人员、设备、资金等方面具有相应的养护施工企业。</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3.2本次招标 不接受 联合体投标。</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3.3每个投标人均可就上述标段中 2 个标段投标，且允许中 1 个标段。</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3.4投标人未被“信用中国”列入“严重失信主体名单”及“信用中国（浙江）”列入“严重失信名单”。（提供无限制投标情形承诺书，无需提供网页截图。）</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4．招标文件的获取</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4.1本工程招标文件、图纸、补充（答疑、澄清）、修改文件均以网上下载方式发放。潜在投标人可使用本单位账号和密码登录“浙里公共资源交易数字化招标交易系统网站”下自行载招标文件、图纸和补充（答疑、澄清）。</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4.2 招标文件网上下载时间：2023年5月9日至2023年6月2日9时00分止。</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4.3未取得“浙里公共资源交易数字化招标交易系统网”用户名和密码的潜在投标人，应先办理单位注册登记手续，取得用户名和密码。具体登记办法请登录“浙里公共资源交易数字化招标交易系统网→投标人注册” 栏目进行操作。投标人参与投标的，请先在电子投标系统（招标公告—我要投标）中填写、完善投标信息。</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5．投标文件的递交及相关事宜</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5.1招标人不组织现场踏勘及投标预备会，投标人自行踏勘。</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5.2 投标文件的递交和递交截止时间：</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投标文件的递交：投标人可采用邮寄或直接送达方式将密封包装的投标文件递交至招标代理机构（嘉兴市秀洲区东升西路1700号科技京城1号楼浙江博宏工程管理咨询有限公司608室，收件人：陈先生，联系电话：15868126391）。采用邮寄方式的，必须确保在规定时间前邮寄至指定地址（邮寄风险由投标人承担）。邮寄前务必提前联系，以便妥善办好交接签收手续。未按时邮寄或直接送达至招标代理机构的投标文件，均视为自动放弃。邮寄送达的建议单独附授权委托书原件及授权代表联系方式。开评标期间授权代表电话应保持畅通，以便评标委员会在评审过程中需要投标人对投标文件作出澄清、说明或者补正时联系。</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5.3 递交截止时间：2023年6月2日9时00分。本项目不要求投标人至开标现场参加开标会议。</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5.4逾期送达的或者未送达指定地点或未按要求递交投标保证金的投标文件，招标人不予受理。</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6．发布公告的媒介</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本次招标公告同时在嘉兴市交通投资集团有限责任公司网站和嘉兴市公共资源交易中心网站上发布。</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7．联系方式</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招标人：浙江杭浦高速公路有限公司</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 xml:space="preserve">地 址：嘉兴市客运中心办公楼9F </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邮政编码：314001</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 xml:space="preserve">联系人：许女士 </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电话：0573-83831657</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传真：/</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招标代理机构：浙江博宏工程管理咨询有限公司</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地址：嘉兴市秀洲区东升西路1700号科技京城电梯6楼</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邮政编码：314000</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联系人：陈先生</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电话：15868126391</w:t>
      </w:r>
    </w:p>
    <w:p>
      <w:pPr>
        <w:widowControl/>
        <w:numPr>
          <w:numId w:val="0"/>
        </w:numPr>
        <w:spacing w:before="100" w:after="100" w:line="390" w:lineRule="atLeast"/>
        <w:ind w:firstLine="360" w:firstLineChars="20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传真：/</w:t>
      </w:r>
    </w:p>
    <w:p>
      <w:pPr>
        <w:widowControl/>
        <w:numPr>
          <w:numId w:val="0"/>
        </w:numPr>
        <w:spacing w:before="100" w:after="100" w:line="390" w:lineRule="atLeast"/>
        <w:ind w:firstLine="360" w:firstLineChars="200"/>
        <w:jc w:val="righ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2023年5月9日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14BCE4C"/>
    <w:multiLevelType w:val="singleLevel"/>
    <w:tmpl w:val="C14BCE4C"/>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3E6B44"/>
    <w:rsid w:val="03535073"/>
    <w:rsid w:val="04024FB6"/>
    <w:rsid w:val="05740FAE"/>
    <w:rsid w:val="06505C16"/>
    <w:rsid w:val="08055249"/>
    <w:rsid w:val="0CA610AD"/>
    <w:rsid w:val="0D4D3D84"/>
    <w:rsid w:val="0FB10D07"/>
    <w:rsid w:val="11403446"/>
    <w:rsid w:val="12347C95"/>
    <w:rsid w:val="12972A2D"/>
    <w:rsid w:val="197E7E25"/>
    <w:rsid w:val="1D307FFC"/>
    <w:rsid w:val="21FD4AFE"/>
    <w:rsid w:val="22C75F62"/>
    <w:rsid w:val="281541D8"/>
    <w:rsid w:val="2A3E6B44"/>
    <w:rsid w:val="30F841E9"/>
    <w:rsid w:val="342250EB"/>
    <w:rsid w:val="38865637"/>
    <w:rsid w:val="38D56EAD"/>
    <w:rsid w:val="3DFC4C65"/>
    <w:rsid w:val="3E754E7F"/>
    <w:rsid w:val="40953F82"/>
    <w:rsid w:val="40D15573"/>
    <w:rsid w:val="45545671"/>
    <w:rsid w:val="462656B4"/>
    <w:rsid w:val="478F5D7E"/>
    <w:rsid w:val="491C2D16"/>
    <w:rsid w:val="4E6108E5"/>
    <w:rsid w:val="510D286B"/>
    <w:rsid w:val="534D4AEE"/>
    <w:rsid w:val="535848B1"/>
    <w:rsid w:val="589E7D77"/>
    <w:rsid w:val="58A46960"/>
    <w:rsid w:val="67E909DB"/>
    <w:rsid w:val="691B2EDE"/>
    <w:rsid w:val="695B78F5"/>
    <w:rsid w:val="6BA86C80"/>
    <w:rsid w:val="6C9D5C11"/>
    <w:rsid w:val="6CC726A4"/>
    <w:rsid w:val="6E0D28A5"/>
    <w:rsid w:val="6E7177DC"/>
    <w:rsid w:val="70D41C8D"/>
    <w:rsid w:val="719E2FE5"/>
    <w:rsid w:val="74681C1B"/>
    <w:rsid w:val="74D32C83"/>
    <w:rsid w:val="75BA07D6"/>
    <w:rsid w:val="75FD4BB2"/>
    <w:rsid w:val="787F3E1C"/>
    <w:rsid w:val="797C55F3"/>
    <w:rsid w:val="7AD33286"/>
    <w:rsid w:val="7B6F1F75"/>
    <w:rsid w:val="7BB62AF9"/>
    <w:rsid w:val="7C5546ED"/>
    <w:rsid w:val="7CD52D34"/>
    <w:rsid w:val="7D0B79B4"/>
    <w:rsid w:val="7D0E3C22"/>
    <w:rsid w:val="7F0227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FollowedHyperlink"/>
    <w:basedOn w:val="3"/>
    <w:uiPriority w:val="0"/>
    <w:rPr>
      <w:color w:val="333333"/>
      <w:sz w:val="18"/>
      <w:szCs w:val="18"/>
      <w:u w:val="none"/>
    </w:rPr>
  </w:style>
  <w:style w:type="character" w:styleId="5">
    <w:name w:val="Hyperlink"/>
    <w:basedOn w:val="3"/>
    <w:uiPriority w:val="0"/>
    <w:rPr>
      <w:color w:val="333333"/>
      <w:sz w:val="18"/>
      <w:szCs w:val="18"/>
      <w:u w:val="none"/>
    </w:rPr>
  </w:style>
  <w:style w:type="character" w:customStyle="1" w:styleId="6">
    <w:name w:val="first-child"/>
    <w:basedOn w:val="3"/>
    <w:uiPriority w:val="0"/>
    <w:rPr>
      <w:bdr w:val="none" w:color="auto" w:sz="0" w:space="0"/>
    </w:rPr>
  </w:style>
  <w:style w:type="character" w:customStyle="1" w:styleId="7">
    <w:name w:val="layui-this"/>
    <w:basedOn w:val="3"/>
    <w:uiPriority w:val="0"/>
    <w:rPr>
      <w:bdr w:val="single" w:color="EEEEEE" w:sz="6" w:space="0"/>
      <w:shd w:val="clear" w:fill="FFFFFF"/>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36</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2023-05-09T09:54:00Z</dcterms:created>
  <dc:creator>浦天明(putm)</dc:creator>
  <cp:lastModifiedBy>浦天明(putm)</cp:lastModifiedBy>
  <dcterms:modified xsi:type="dcterms:W3CDTF">2023-05-09T10:30:49Z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