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78" w:leftChars="-85" w:right="-260" w:rightChars="-124" w:firstLine="166" w:firstLineChars="59"/>
        <w:jc w:val="center"/>
        <w:rPr>
          <w:rFonts w:ascii="宋体" w:hAnsi="宋体"/>
          <w:b/>
          <w:sz w:val="28"/>
          <w:szCs w:val="28"/>
        </w:rPr>
      </w:pPr>
      <w:bookmarkStart w:id="80" w:name="_GoBack"/>
      <w:bookmarkEnd w:id="80"/>
      <w:r>
        <w:rPr>
          <w:rFonts w:hint="eastAsia" w:ascii="宋体" w:hAnsi="宋体"/>
          <w:b/>
          <w:sz w:val="28"/>
          <w:szCs w:val="28"/>
          <w:u w:val="single"/>
        </w:rPr>
        <w:t>嘉通集团系统2023年度信创终端采购项目（重新招标）</w:t>
      </w:r>
      <w:r>
        <w:rPr>
          <w:rFonts w:ascii="宋体" w:hAnsi="宋体"/>
          <w:b/>
          <w:sz w:val="28"/>
          <w:szCs w:val="28"/>
        </w:rPr>
        <w:t>招标公告</w:t>
      </w:r>
    </w:p>
    <w:p>
      <w:pPr>
        <w:pStyle w:val="2"/>
        <w:snapToGrid w:val="0"/>
        <w:spacing w:before="156" w:beforeLines="50" w:after="0" w:line="360" w:lineRule="auto"/>
        <w:ind w:left="108" w:right="108"/>
        <w:rPr>
          <w:rFonts w:ascii="宋体" w:hAnsi="宋体" w:eastAsia="宋体"/>
          <w:bCs/>
          <w:caps/>
          <w:sz w:val="24"/>
          <w:szCs w:val="24"/>
        </w:rPr>
      </w:pPr>
      <w:bookmarkStart w:id="0" w:name="_Toc306440262"/>
      <w:bookmarkStart w:id="1" w:name="_Toc375055843"/>
      <w:bookmarkStart w:id="2" w:name="_Toc375056588"/>
      <w:bookmarkStart w:id="3" w:name="_Toc373494728"/>
      <w:bookmarkStart w:id="4" w:name="_Toc269567136"/>
      <w:bookmarkStart w:id="5" w:name="_Toc375828026"/>
      <w:bookmarkStart w:id="6" w:name="_Toc152045512"/>
      <w:bookmarkStart w:id="7" w:name="_Toc424133232"/>
      <w:bookmarkStart w:id="8" w:name="_Toc10825"/>
      <w:bookmarkStart w:id="9" w:name="_Toc152042288"/>
      <w:bookmarkStart w:id="10" w:name="_Toc144974480"/>
      <w:r>
        <w:rPr>
          <w:rFonts w:ascii="宋体" w:hAnsi="宋体" w:eastAsia="宋体"/>
          <w:bCs/>
          <w:caps/>
          <w:sz w:val="24"/>
          <w:szCs w:val="24"/>
        </w:rPr>
        <w:t>1. 招标条件</w:t>
      </w:r>
      <w:bookmarkEnd w:id="0"/>
      <w:bookmarkEnd w:id="1"/>
      <w:bookmarkEnd w:id="2"/>
      <w:bookmarkEnd w:id="3"/>
      <w:bookmarkEnd w:id="4"/>
      <w:bookmarkEnd w:id="5"/>
      <w:bookmarkEnd w:id="6"/>
      <w:bookmarkEnd w:id="7"/>
      <w:bookmarkEnd w:id="8"/>
      <w:bookmarkEnd w:id="9"/>
      <w:bookmarkEnd w:id="10"/>
    </w:p>
    <w:p>
      <w:pPr>
        <w:spacing w:line="360" w:lineRule="auto"/>
        <w:ind w:left="-178" w:leftChars="-85" w:right="-260" w:rightChars="-124" w:firstLine="543" w:firstLineChars="259"/>
        <w:rPr>
          <w:rFonts w:ascii="宋体" w:hAnsi="宋体"/>
          <w:szCs w:val="21"/>
        </w:rPr>
      </w:pPr>
      <w:r>
        <w:rPr>
          <w:rFonts w:hint="eastAsia" w:ascii="宋体" w:hAnsi="宋体"/>
          <w:szCs w:val="21"/>
        </w:rPr>
        <w:t>本招标项目</w:t>
      </w:r>
      <w:r>
        <w:rPr>
          <w:rFonts w:hint="eastAsia" w:ascii="宋体" w:hAnsi="宋体"/>
          <w:szCs w:val="21"/>
          <w:u w:val="single"/>
        </w:rPr>
        <w:t>嘉通集团系统2023年度信创终端采购项目（重新招标）</w:t>
      </w:r>
      <w:r>
        <w:rPr>
          <w:rFonts w:hint="eastAsia" w:ascii="宋体" w:hAnsi="宋体"/>
          <w:szCs w:val="21"/>
        </w:rPr>
        <w:t>（以下简称本项目），招标人为</w:t>
      </w:r>
      <w:r>
        <w:rPr>
          <w:rFonts w:hint="eastAsia" w:ascii="宋体" w:hAnsi="宋体"/>
          <w:szCs w:val="21"/>
          <w:u w:val="single"/>
        </w:rPr>
        <w:t>嘉兴市交通投资集团有限责任公司</w:t>
      </w:r>
      <w:r>
        <w:rPr>
          <w:rFonts w:hint="eastAsia" w:ascii="宋体" w:hAnsi="宋体"/>
          <w:szCs w:val="21"/>
        </w:rPr>
        <w:t>，招标项目资金来为</w:t>
      </w:r>
      <w:r>
        <w:rPr>
          <w:rFonts w:hint="eastAsia" w:ascii="宋体" w:hAnsi="宋体"/>
          <w:szCs w:val="21"/>
          <w:u w:val="single"/>
        </w:rPr>
        <w:t>自筹</w:t>
      </w:r>
      <w:r>
        <w:rPr>
          <w:rFonts w:hint="eastAsia" w:ascii="宋体" w:hAnsi="宋体"/>
          <w:szCs w:val="21"/>
        </w:rPr>
        <w:t>。项目已具备招标条件，现对该项目进行公开招标，实行资格后审。</w:t>
      </w:r>
    </w:p>
    <w:p>
      <w:pPr>
        <w:pStyle w:val="2"/>
        <w:snapToGrid w:val="0"/>
        <w:spacing w:before="156" w:beforeLines="50" w:after="0" w:line="360" w:lineRule="auto"/>
        <w:ind w:right="108"/>
        <w:rPr>
          <w:rFonts w:ascii="宋体" w:hAnsi="宋体" w:eastAsia="宋体"/>
          <w:bCs/>
          <w:caps/>
          <w:sz w:val="24"/>
          <w:szCs w:val="24"/>
        </w:rPr>
      </w:pPr>
      <w:bookmarkStart w:id="11" w:name="_Toc375055844"/>
      <w:bookmarkStart w:id="12" w:name="_Toc373494729"/>
      <w:bookmarkStart w:id="13" w:name="_Toc375828027"/>
      <w:bookmarkStart w:id="14" w:name="_Toc152042289"/>
      <w:bookmarkStart w:id="15" w:name="_Toc269567137"/>
      <w:bookmarkStart w:id="16" w:name="_Toc424133233"/>
      <w:bookmarkStart w:id="17" w:name="_Toc22492"/>
      <w:bookmarkStart w:id="18" w:name="_Toc306440263"/>
      <w:bookmarkStart w:id="19" w:name="_Toc375056589"/>
      <w:bookmarkStart w:id="20" w:name="_Toc144974481"/>
      <w:bookmarkStart w:id="21" w:name="_Toc152045513"/>
      <w:r>
        <w:rPr>
          <w:rFonts w:ascii="宋体" w:hAnsi="宋体" w:eastAsia="宋体"/>
          <w:bCs/>
          <w:caps/>
          <w:sz w:val="24"/>
          <w:szCs w:val="24"/>
        </w:rPr>
        <w:t>2. 项目概况与招标范围</w:t>
      </w:r>
      <w:bookmarkEnd w:id="11"/>
      <w:bookmarkEnd w:id="12"/>
      <w:bookmarkEnd w:id="13"/>
      <w:bookmarkEnd w:id="14"/>
      <w:bookmarkEnd w:id="15"/>
      <w:bookmarkEnd w:id="16"/>
      <w:bookmarkEnd w:id="17"/>
      <w:bookmarkEnd w:id="18"/>
      <w:bookmarkEnd w:id="19"/>
      <w:bookmarkEnd w:id="20"/>
      <w:bookmarkEnd w:id="21"/>
    </w:p>
    <w:p>
      <w:pPr>
        <w:topLinePunct/>
        <w:spacing w:line="360" w:lineRule="auto"/>
        <w:ind w:right="420" w:firstLine="420" w:firstLineChars="200"/>
        <w:jc w:val="left"/>
        <w:rPr>
          <w:rFonts w:hint="eastAsia" w:ascii="宋体" w:hAnsi="宋体"/>
          <w:color w:val="FF0000"/>
          <w:szCs w:val="21"/>
        </w:rPr>
      </w:pPr>
      <w:bookmarkStart w:id="22" w:name="_Toc333565806"/>
      <w:r>
        <w:rPr>
          <w:rFonts w:ascii="宋体" w:hAnsi="宋体"/>
          <w:szCs w:val="21"/>
        </w:rPr>
        <w:t>2.</w:t>
      </w:r>
      <w:r>
        <w:rPr>
          <w:rFonts w:hint="eastAsia" w:ascii="宋体" w:hAnsi="宋体"/>
          <w:szCs w:val="21"/>
        </w:rPr>
        <w:t>1</w:t>
      </w:r>
      <w:r>
        <w:rPr>
          <w:rFonts w:ascii="宋体" w:hAnsi="宋体"/>
          <w:szCs w:val="21"/>
        </w:rPr>
        <w:t>招标范围</w:t>
      </w:r>
      <w:bookmarkEnd w:id="22"/>
      <w:bookmarkStart w:id="23" w:name="_Toc373159857"/>
      <w:bookmarkStart w:id="24" w:name="_Toc333565807"/>
      <w:bookmarkStart w:id="25" w:name="_Toc372901971"/>
      <w:bookmarkStart w:id="26" w:name="_Toc372886004"/>
      <w:bookmarkStart w:id="27" w:name="_Toc373147298"/>
      <w:bookmarkStart w:id="28" w:name="_Toc372885825"/>
      <w:r>
        <w:rPr>
          <w:rFonts w:hint="eastAsia" w:ascii="宋体" w:hAnsi="宋体"/>
          <w:szCs w:val="21"/>
        </w:rPr>
        <w:t>：</w:t>
      </w:r>
    </w:p>
    <w:tbl>
      <w:tblPr>
        <w:tblStyle w:val="11"/>
        <w:tblW w:w="4192" w:type="pct"/>
        <w:tblInd w:w="5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0"/>
        <w:gridCol w:w="3608"/>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pct"/>
            <w:vAlign w:val="center"/>
          </w:tcPr>
          <w:p>
            <w:pPr>
              <w:jc w:val="center"/>
            </w:pPr>
            <w:r>
              <w:rPr>
                <w:rFonts w:hint="eastAsia"/>
              </w:rPr>
              <w:t>序号</w:t>
            </w:r>
          </w:p>
        </w:tc>
        <w:tc>
          <w:tcPr>
            <w:tcW w:w="2524" w:type="pct"/>
            <w:vAlign w:val="center"/>
          </w:tcPr>
          <w:p>
            <w:pPr>
              <w:jc w:val="center"/>
            </w:pPr>
            <w:r>
              <w:rPr>
                <w:rFonts w:hint="eastAsia"/>
              </w:rPr>
              <w:t>设备名称</w:t>
            </w:r>
          </w:p>
        </w:tc>
        <w:tc>
          <w:tcPr>
            <w:tcW w:w="1334" w:type="pct"/>
            <w:vAlign w:val="center"/>
          </w:tcPr>
          <w:p>
            <w:pPr>
              <w:jc w:val="center"/>
              <w:rPr>
                <w:rFonts w:hint="eastAsia"/>
              </w:rPr>
            </w:pPr>
            <w:r>
              <w:rPr>
                <w:rFonts w:hint="eastAsia"/>
              </w:rPr>
              <w:t>数量（套）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pct"/>
            <w:vAlign w:val="center"/>
          </w:tcPr>
          <w:p>
            <w:pPr>
              <w:jc w:val="center"/>
            </w:pPr>
            <w:r>
              <w:rPr>
                <w:rFonts w:hint="eastAsia"/>
              </w:rPr>
              <w:t>1</w:t>
            </w:r>
          </w:p>
        </w:tc>
        <w:tc>
          <w:tcPr>
            <w:tcW w:w="2524" w:type="pct"/>
            <w:vAlign w:val="center"/>
          </w:tcPr>
          <w:p>
            <w:pPr>
              <w:jc w:val="center"/>
            </w:pPr>
            <w:r>
              <w:rPr>
                <w:rFonts w:hint="eastAsia"/>
              </w:rPr>
              <w:t>信创终端</w:t>
            </w:r>
          </w:p>
        </w:tc>
        <w:tc>
          <w:tcPr>
            <w:tcW w:w="1334" w:type="pct"/>
            <w:vAlign w:val="center"/>
          </w:tcPr>
          <w:p>
            <w:pPr>
              <w:jc w:val="center"/>
            </w:pPr>
            <w:r>
              <w:rPr>
                <w:rFonts w:hint="eastAsi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pct"/>
            <w:vAlign w:val="center"/>
          </w:tcPr>
          <w:p>
            <w:pPr>
              <w:jc w:val="center"/>
            </w:pPr>
            <w:r>
              <w:rPr>
                <w:rFonts w:hint="eastAsia"/>
              </w:rPr>
              <w:t>2</w:t>
            </w:r>
          </w:p>
        </w:tc>
        <w:tc>
          <w:tcPr>
            <w:tcW w:w="2524" w:type="pct"/>
            <w:vAlign w:val="center"/>
          </w:tcPr>
          <w:p>
            <w:pPr>
              <w:jc w:val="center"/>
            </w:pPr>
            <w:r>
              <w:rPr>
                <w:rFonts w:hint="eastAsia"/>
              </w:rPr>
              <w:t>操作系统</w:t>
            </w:r>
          </w:p>
        </w:tc>
        <w:tc>
          <w:tcPr>
            <w:tcW w:w="1334" w:type="pct"/>
            <w:vAlign w:val="center"/>
          </w:tcPr>
          <w:p>
            <w:pPr>
              <w:jc w:val="center"/>
            </w:pPr>
            <w:r>
              <w:rPr>
                <w:rFonts w:hint="eastAsi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pct"/>
            <w:vAlign w:val="center"/>
          </w:tcPr>
          <w:p>
            <w:pPr>
              <w:jc w:val="center"/>
            </w:pPr>
            <w:r>
              <w:rPr>
                <w:rFonts w:hint="eastAsia"/>
              </w:rPr>
              <w:t>3</w:t>
            </w:r>
          </w:p>
        </w:tc>
        <w:tc>
          <w:tcPr>
            <w:tcW w:w="2524" w:type="pct"/>
            <w:vAlign w:val="center"/>
          </w:tcPr>
          <w:p>
            <w:pPr>
              <w:jc w:val="center"/>
            </w:pPr>
            <w:r>
              <w:rPr>
                <w:rFonts w:hint="eastAsia"/>
              </w:rPr>
              <w:t>流式软件</w:t>
            </w:r>
          </w:p>
        </w:tc>
        <w:tc>
          <w:tcPr>
            <w:tcW w:w="1334" w:type="pct"/>
            <w:vAlign w:val="center"/>
          </w:tcPr>
          <w:p>
            <w:pPr>
              <w:jc w:val="center"/>
            </w:pPr>
            <w:r>
              <w:rPr>
                <w:rFonts w:hint="eastAsi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pct"/>
            <w:vAlign w:val="center"/>
          </w:tcPr>
          <w:p>
            <w:pPr>
              <w:jc w:val="center"/>
            </w:pPr>
            <w:r>
              <w:rPr>
                <w:rFonts w:hint="eastAsia"/>
              </w:rPr>
              <w:t>4</w:t>
            </w:r>
          </w:p>
        </w:tc>
        <w:tc>
          <w:tcPr>
            <w:tcW w:w="2524" w:type="pct"/>
            <w:vAlign w:val="center"/>
          </w:tcPr>
          <w:p>
            <w:pPr>
              <w:jc w:val="center"/>
            </w:pPr>
            <w:r>
              <w:rPr>
                <w:rFonts w:hint="eastAsia"/>
              </w:rPr>
              <w:t>版式软件</w:t>
            </w:r>
          </w:p>
        </w:tc>
        <w:tc>
          <w:tcPr>
            <w:tcW w:w="1334" w:type="pct"/>
            <w:vAlign w:val="center"/>
          </w:tcPr>
          <w:p>
            <w:pPr>
              <w:jc w:val="center"/>
            </w:pPr>
            <w:r>
              <w:rPr>
                <w:rFonts w:hint="eastAsi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pct"/>
            <w:vAlign w:val="center"/>
          </w:tcPr>
          <w:p>
            <w:pPr>
              <w:jc w:val="center"/>
            </w:pPr>
            <w:r>
              <w:rPr>
                <w:rFonts w:hint="eastAsia"/>
              </w:rPr>
              <w:t>5</w:t>
            </w:r>
          </w:p>
        </w:tc>
        <w:tc>
          <w:tcPr>
            <w:tcW w:w="2524" w:type="pct"/>
            <w:vAlign w:val="center"/>
          </w:tcPr>
          <w:p>
            <w:pPr>
              <w:jc w:val="center"/>
            </w:pPr>
            <w:r>
              <w:rPr>
                <w:rFonts w:hint="eastAsia"/>
              </w:rPr>
              <w:t>防病毒软件1</w:t>
            </w:r>
          </w:p>
        </w:tc>
        <w:tc>
          <w:tcPr>
            <w:tcW w:w="1334" w:type="pct"/>
            <w:vAlign w:val="center"/>
          </w:tcPr>
          <w:p>
            <w:pPr>
              <w:jc w:val="center"/>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pct"/>
            <w:vAlign w:val="center"/>
          </w:tcPr>
          <w:p>
            <w:pPr>
              <w:jc w:val="center"/>
            </w:pPr>
            <w:r>
              <w:rPr>
                <w:rFonts w:hint="eastAsia"/>
              </w:rPr>
              <w:t>6</w:t>
            </w:r>
          </w:p>
        </w:tc>
        <w:tc>
          <w:tcPr>
            <w:tcW w:w="2524" w:type="pct"/>
            <w:vAlign w:val="center"/>
          </w:tcPr>
          <w:p>
            <w:pPr>
              <w:jc w:val="center"/>
            </w:pPr>
            <w:r>
              <w:rPr>
                <w:rFonts w:hint="eastAsia"/>
              </w:rPr>
              <w:t>防病毒软件2</w:t>
            </w:r>
          </w:p>
        </w:tc>
        <w:tc>
          <w:tcPr>
            <w:tcW w:w="1334" w:type="pct"/>
            <w:vAlign w:val="center"/>
          </w:tcPr>
          <w:p>
            <w:pPr>
              <w:jc w:val="center"/>
            </w:pPr>
            <w:r>
              <w:rPr>
                <w:rFonts w:hint="eastAsi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pct"/>
            <w:vAlign w:val="center"/>
          </w:tcPr>
          <w:p>
            <w:pPr>
              <w:jc w:val="center"/>
            </w:pPr>
            <w:r>
              <w:rPr>
                <w:rFonts w:hint="eastAsia"/>
              </w:rPr>
              <w:t>7</w:t>
            </w:r>
          </w:p>
        </w:tc>
        <w:tc>
          <w:tcPr>
            <w:tcW w:w="2524" w:type="pct"/>
            <w:vAlign w:val="center"/>
          </w:tcPr>
          <w:p>
            <w:pPr>
              <w:jc w:val="center"/>
            </w:pPr>
            <w:r>
              <w:rPr>
                <w:rFonts w:hint="eastAsia"/>
              </w:rPr>
              <w:t>防病毒软件3</w:t>
            </w:r>
          </w:p>
        </w:tc>
        <w:tc>
          <w:tcPr>
            <w:tcW w:w="1334" w:type="pct"/>
            <w:vAlign w:val="center"/>
          </w:tcPr>
          <w:p>
            <w:pPr>
              <w:jc w:val="center"/>
            </w:pPr>
            <w:r>
              <w:rPr>
                <w:rFonts w:hint="eastAsia"/>
              </w:rPr>
              <w:t>10</w:t>
            </w:r>
          </w:p>
        </w:tc>
      </w:tr>
    </w:tbl>
    <w:p>
      <w:pPr>
        <w:topLinePunct/>
        <w:spacing w:line="360" w:lineRule="auto"/>
        <w:ind w:right="420" w:firstLine="420" w:firstLineChars="200"/>
        <w:rPr>
          <w:rFonts w:ascii="宋体" w:hAnsi="宋体"/>
          <w:szCs w:val="21"/>
        </w:rPr>
      </w:pPr>
      <w:r>
        <w:rPr>
          <w:rFonts w:hint="eastAsia" w:ascii="宋体" w:hAnsi="宋体"/>
          <w:szCs w:val="21"/>
        </w:rPr>
        <w:t>2.2采购总金额：约41.2040</w:t>
      </w:r>
      <w:r>
        <w:rPr>
          <w:rFonts w:ascii="宋体" w:hAnsi="宋体"/>
          <w:szCs w:val="21"/>
        </w:rPr>
        <w:t>万元。</w:t>
      </w:r>
    </w:p>
    <w:p>
      <w:pPr>
        <w:topLinePunct/>
        <w:spacing w:line="360" w:lineRule="auto"/>
        <w:ind w:right="420" w:firstLine="420" w:firstLineChars="200"/>
        <w:rPr>
          <w:rFonts w:hint="eastAsia" w:ascii="宋体" w:hAnsi="宋体"/>
          <w:szCs w:val="21"/>
        </w:rPr>
      </w:pPr>
      <w:r>
        <w:rPr>
          <w:rFonts w:ascii="宋体" w:hAnsi="宋体"/>
          <w:szCs w:val="21"/>
        </w:rPr>
        <w:t>2.</w:t>
      </w:r>
      <w:r>
        <w:rPr>
          <w:rFonts w:hint="eastAsia" w:ascii="宋体" w:hAnsi="宋体"/>
          <w:szCs w:val="21"/>
        </w:rPr>
        <w:t>3</w:t>
      </w:r>
      <w:r>
        <w:rPr>
          <w:rFonts w:ascii="宋体" w:hAnsi="宋体"/>
          <w:szCs w:val="21"/>
        </w:rPr>
        <w:t>标段划分：本项目划分为</w:t>
      </w:r>
      <w:r>
        <w:rPr>
          <w:rFonts w:hint="eastAsia" w:ascii="宋体" w:hAnsi="宋体"/>
          <w:szCs w:val="21"/>
        </w:rPr>
        <w:t>1</w:t>
      </w:r>
      <w:r>
        <w:rPr>
          <w:rFonts w:ascii="宋体" w:hAnsi="宋体"/>
          <w:szCs w:val="21"/>
        </w:rPr>
        <w:t>个标段</w:t>
      </w:r>
      <w:bookmarkEnd w:id="23"/>
      <w:bookmarkEnd w:id="24"/>
      <w:bookmarkEnd w:id="25"/>
      <w:bookmarkEnd w:id="26"/>
      <w:bookmarkEnd w:id="27"/>
      <w:bookmarkEnd w:id="28"/>
      <w:r>
        <w:rPr>
          <w:rFonts w:hint="eastAsia" w:ascii="宋体" w:hAnsi="宋体"/>
          <w:szCs w:val="21"/>
        </w:rPr>
        <w:t>。</w:t>
      </w:r>
    </w:p>
    <w:p>
      <w:pPr>
        <w:topLinePunct/>
        <w:spacing w:line="360" w:lineRule="auto"/>
        <w:ind w:right="420" w:firstLine="420" w:firstLineChars="200"/>
        <w:rPr>
          <w:rFonts w:ascii="宋体" w:hAnsi="宋体"/>
          <w:szCs w:val="21"/>
        </w:rPr>
      </w:pPr>
      <w:r>
        <w:rPr>
          <w:rFonts w:ascii="宋体" w:hAnsi="宋体"/>
          <w:szCs w:val="21"/>
        </w:rPr>
        <w:t>2.</w:t>
      </w:r>
      <w:r>
        <w:rPr>
          <w:rFonts w:hint="eastAsia" w:ascii="宋体" w:hAnsi="宋体"/>
          <w:szCs w:val="21"/>
        </w:rPr>
        <w:t>4交货地点</w:t>
      </w:r>
      <w:r>
        <w:rPr>
          <w:rFonts w:ascii="宋体" w:hAnsi="宋体"/>
          <w:szCs w:val="21"/>
        </w:rPr>
        <w:t>：</w:t>
      </w:r>
      <w:r>
        <w:rPr>
          <w:rFonts w:hint="eastAsia" w:ascii="宋体" w:hAnsi="宋体"/>
          <w:szCs w:val="21"/>
        </w:rPr>
        <w:t>以采购方指定交货地点为准</w:t>
      </w:r>
      <w:r>
        <w:rPr>
          <w:rFonts w:ascii="宋体" w:hAnsi="宋体"/>
          <w:szCs w:val="21"/>
        </w:rPr>
        <w:t>。</w:t>
      </w:r>
    </w:p>
    <w:p>
      <w:pPr>
        <w:topLinePunct/>
        <w:spacing w:line="360" w:lineRule="auto"/>
        <w:ind w:right="420" w:firstLine="420" w:firstLineChars="200"/>
        <w:rPr>
          <w:rFonts w:hint="eastAsia" w:ascii="宋体" w:hAnsi="宋体"/>
          <w:szCs w:val="21"/>
        </w:rPr>
      </w:pPr>
      <w:bookmarkStart w:id="29" w:name="_Toc306440264"/>
      <w:bookmarkStart w:id="30" w:name="_Toc152045514"/>
      <w:bookmarkStart w:id="31" w:name="_Toc144974482"/>
      <w:bookmarkStart w:id="32" w:name="_Toc269567138"/>
      <w:bookmarkStart w:id="33" w:name="_Toc152042290"/>
      <w:r>
        <w:rPr>
          <w:rFonts w:ascii="宋体" w:hAnsi="宋体"/>
          <w:szCs w:val="21"/>
        </w:rPr>
        <w:t>2.</w:t>
      </w:r>
      <w:r>
        <w:rPr>
          <w:rFonts w:hint="eastAsia" w:ascii="宋体" w:hAnsi="宋体"/>
          <w:szCs w:val="21"/>
        </w:rPr>
        <w:t>5交货时间</w:t>
      </w:r>
      <w:r>
        <w:rPr>
          <w:rFonts w:ascii="宋体" w:hAnsi="宋体"/>
          <w:szCs w:val="21"/>
        </w:rPr>
        <w:t>：</w:t>
      </w:r>
      <w:r>
        <w:rPr>
          <w:rFonts w:hint="eastAsia" w:ascii="宋体" w:hAnsi="宋体"/>
          <w:szCs w:val="21"/>
        </w:rPr>
        <w:t>要求在2023年12月</w:t>
      </w:r>
      <w:r>
        <w:rPr>
          <w:rFonts w:ascii="宋体" w:hAnsi="宋体"/>
          <w:szCs w:val="21"/>
        </w:rPr>
        <w:t>31</w:t>
      </w:r>
      <w:r>
        <w:rPr>
          <w:rFonts w:hint="eastAsia" w:ascii="宋体" w:hAnsi="宋体"/>
          <w:szCs w:val="21"/>
        </w:rPr>
        <w:t>日前完成所有产品的供货、安装、调试、培训、检验、验收等全部工作。</w:t>
      </w:r>
    </w:p>
    <w:p>
      <w:pPr>
        <w:pStyle w:val="2"/>
        <w:snapToGrid w:val="0"/>
        <w:spacing w:before="156" w:beforeLines="50" w:after="0" w:line="360" w:lineRule="auto"/>
        <w:ind w:left="108" w:right="108"/>
        <w:rPr>
          <w:rFonts w:ascii="宋体" w:hAnsi="宋体" w:eastAsia="宋体"/>
          <w:bCs/>
          <w:caps/>
          <w:sz w:val="24"/>
          <w:szCs w:val="24"/>
        </w:rPr>
      </w:pPr>
      <w:bookmarkStart w:id="34" w:name="_Toc375055845"/>
      <w:bookmarkStart w:id="35" w:name="_Toc375828028"/>
      <w:bookmarkStart w:id="36" w:name="_Toc375056590"/>
      <w:bookmarkStart w:id="37" w:name="_Toc424133234"/>
      <w:bookmarkStart w:id="38" w:name="_Toc373494730"/>
      <w:bookmarkStart w:id="39" w:name="_Toc20059"/>
      <w:r>
        <w:rPr>
          <w:rFonts w:ascii="宋体" w:hAnsi="宋体" w:eastAsia="宋体"/>
          <w:bCs/>
          <w:caps/>
          <w:sz w:val="24"/>
          <w:szCs w:val="24"/>
        </w:rPr>
        <w:t>3. 投标人资格要求</w:t>
      </w:r>
      <w:bookmarkEnd w:id="29"/>
      <w:bookmarkEnd w:id="30"/>
      <w:bookmarkEnd w:id="31"/>
      <w:bookmarkEnd w:id="32"/>
      <w:bookmarkEnd w:id="33"/>
      <w:bookmarkEnd w:id="34"/>
      <w:bookmarkEnd w:id="35"/>
      <w:bookmarkEnd w:id="36"/>
      <w:bookmarkEnd w:id="37"/>
      <w:bookmarkEnd w:id="38"/>
      <w:bookmarkEnd w:id="39"/>
    </w:p>
    <w:p>
      <w:pPr>
        <w:pStyle w:val="20"/>
        <w:spacing w:line="360" w:lineRule="auto"/>
        <w:ind w:firstLine="420" w:firstLineChars="200"/>
        <w:rPr>
          <w:rFonts w:ascii="宋体" w:hAnsi="宋体"/>
          <w:szCs w:val="21"/>
        </w:rPr>
      </w:pPr>
      <w:r>
        <w:rPr>
          <w:rFonts w:ascii="宋体" w:hAnsi="宋体"/>
          <w:szCs w:val="21"/>
        </w:rPr>
        <w:t>合格投标人资格需同时具备以下条件：</w:t>
      </w:r>
    </w:p>
    <w:p>
      <w:pPr>
        <w:spacing w:line="360" w:lineRule="auto"/>
        <w:ind w:left="105" w:right="105" w:firstLine="400"/>
        <w:rPr>
          <w:rFonts w:hint="eastAsia" w:ascii="宋体" w:hAnsi="宋体"/>
        </w:rPr>
      </w:pPr>
      <w:bookmarkStart w:id="40" w:name="_Toc373494731"/>
      <w:bookmarkStart w:id="41" w:name="_Toc375828029"/>
      <w:bookmarkStart w:id="42" w:name="_Toc144974483"/>
      <w:bookmarkStart w:id="43" w:name="_Toc306440265"/>
      <w:bookmarkStart w:id="44" w:name="_Toc375055846"/>
      <w:bookmarkStart w:id="45" w:name="_Toc152045515"/>
      <w:bookmarkStart w:id="46" w:name="_Toc375056591"/>
      <w:bookmarkStart w:id="47" w:name="_Toc424133235"/>
      <w:bookmarkStart w:id="48" w:name="_Toc152042291"/>
      <w:bookmarkStart w:id="49" w:name="_Toc269567139"/>
      <w:r>
        <w:rPr>
          <w:rFonts w:hint="eastAsia" w:ascii="宋体" w:hAnsi="宋体"/>
        </w:rPr>
        <w:t>3.1具有独立承担民事责任的能力； </w:t>
      </w:r>
    </w:p>
    <w:p>
      <w:pPr>
        <w:spacing w:line="360" w:lineRule="auto"/>
        <w:ind w:left="105" w:right="105" w:firstLine="400"/>
        <w:rPr>
          <w:rFonts w:hint="eastAsia" w:ascii="宋体" w:hAnsi="宋体"/>
        </w:rPr>
      </w:pPr>
      <w:r>
        <w:rPr>
          <w:rFonts w:hint="eastAsia" w:ascii="宋体" w:hAnsi="宋体"/>
        </w:rPr>
        <w:t>3.2具有良好的商业信誉和健全的财务会计制度； </w:t>
      </w:r>
    </w:p>
    <w:p>
      <w:pPr>
        <w:spacing w:line="360" w:lineRule="auto"/>
        <w:ind w:left="105" w:right="105" w:firstLine="400"/>
        <w:rPr>
          <w:rFonts w:ascii="宋体" w:hAnsi="宋体"/>
        </w:rPr>
      </w:pPr>
      <w:r>
        <w:rPr>
          <w:rFonts w:hint="eastAsia" w:ascii="宋体" w:hAnsi="宋体"/>
        </w:rPr>
        <w:t>3.3具有履行合同所必需的设备和专业技术能力；</w:t>
      </w:r>
    </w:p>
    <w:p>
      <w:pPr>
        <w:spacing w:line="360" w:lineRule="auto"/>
        <w:ind w:left="105" w:right="105" w:firstLine="400"/>
        <w:rPr>
          <w:rFonts w:hint="eastAsia" w:ascii="宋体" w:hAnsi="宋体"/>
        </w:rPr>
      </w:pPr>
      <w:r>
        <w:rPr>
          <w:rFonts w:hint="eastAsia" w:ascii="宋体" w:hAnsi="宋体"/>
        </w:rPr>
        <w:t>3.4具有依法缴纳税收和社会保障资金的良好记录；</w:t>
      </w:r>
    </w:p>
    <w:p>
      <w:pPr>
        <w:spacing w:line="360" w:lineRule="auto"/>
        <w:ind w:left="105" w:right="105" w:firstLine="400"/>
        <w:rPr>
          <w:rFonts w:ascii="宋体" w:hAnsi="宋体"/>
        </w:rPr>
      </w:pPr>
      <w:r>
        <w:rPr>
          <w:rFonts w:hint="eastAsia" w:ascii="宋体" w:hAnsi="宋体"/>
        </w:rPr>
        <w:t>3.5 参加采购活动前3年（2020年1月至今）内，在经营活动中没有重大违法记录；</w:t>
      </w:r>
    </w:p>
    <w:p>
      <w:pPr>
        <w:spacing w:line="360" w:lineRule="auto"/>
        <w:ind w:left="105" w:right="105" w:firstLine="400"/>
        <w:rPr>
          <w:rFonts w:ascii="宋体" w:hAnsi="宋体"/>
        </w:rPr>
      </w:pPr>
      <w:r>
        <w:rPr>
          <w:rFonts w:ascii="宋体" w:hAnsi="宋体"/>
        </w:rPr>
        <w:t>3.</w:t>
      </w:r>
      <w:r>
        <w:rPr>
          <w:rFonts w:hint="eastAsia" w:ascii="宋体" w:hAnsi="宋体"/>
        </w:rPr>
        <w:t>6</w:t>
      </w:r>
      <w:r>
        <w:rPr>
          <w:rFonts w:ascii="宋体" w:hAnsi="宋体"/>
        </w:rPr>
        <w:t>未被“信用中国”网站（http://www.creditchina.gov.cn）”</w:t>
      </w:r>
      <w:r>
        <w:rPr>
          <w:rFonts w:hint="eastAsia" w:ascii="宋体" w:hAnsi="宋体"/>
        </w:rPr>
        <w:t>列入“失信惩戒对象”</w:t>
      </w:r>
      <w:r>
        <w:rPr>
          <w:rFonts w:ascii="宋体" w:hAnsi="宋体"/>
        </w:rPr>
        <w:t>和“信用中国（浙江）”网站（http://credit.zj.gov.cn）”</w:t>
      </w:r>
      <w:r>
        <w:rPr>
          <w:rFonts w:hint="eastAsia" w:ascii="宋体" w:hAnsi="宋体"/>
        </w:rPr>
        <w:t>列入“</w:t>
      </w:r>
      <w:r>
        <w:rPr>
          <w:rFonts w:ascii="宋体" w:hAnsi="宋体"/>
        </w:rPr>
        <w:t>严重失信</w:t>
      </w:r>
      <w:r>
        <w:rPr>
          <w:rFonts w:hint="eastAsia" w:ascii="宋体" w:hAnsi="宋体"/>
        </w:rPr>
        <w:t>黑</w:t>
      </w:r>
      <w:r>
        <w:rPr>
          <w:rFonts w:ascii="宋体" w:hAnsi="宋体"/>
        </w:rPr>
        <w:t>名单</w:t>
      </w:r>
      <w:r>
        <w:rPr>
          <w:rFonts w:hint="eastAsia" w:ascii="宋体" w:hAnsi="宋体"/>
        </w:rPr>
        <w:t>”；</w:t>
      </w:r>
    </w:p>
    <w:p>
      <w:pPr>
        <w:spacing w:line="360" w:lineRule="auto"/>
        <w:ind w:left="105" w:right="105" w:firstLine="400"/>
        <w:rPr>
          <w:rFonts w:ascii="宋体" w:hAnsi="宋体"/>
        </w:rPr>
      </w:pPr>
      <w:r>
        <w:rPr>
          <w:rFonts w:ascii="宋体" w:hAnsi="宋体"/>
        </w:rPr>
        <w:t>3.</w:t>
      </w:r>
      <w:r>
        <w:rPr>
          <w:rFonts w:hint="eastAsia" w:ascii="宋体" w:hAnsi="宋体"/>
        </w:rPr>
        <w:t>7</w:t>
      </w:r>
      <w:r>
        <w:rPr>
          <w:rFonts w:ascii="宋体" w:hAnsi="宋体"/>
        </w:rPr>
        <w:t>本次招标不接受联合体投标</w:t>
      </w:r>
      <w:r>
        <w:rPr>
          <w:rFonts w:hint="eastAsia" w:ascii="宋体" w:hAnsi="宋体"/>
        </w:rPr>
        <w:t>；</w:t>
      </w:r>
    </w:p>
    <w:p>
      <w:pPr>
        <w:spacing w:line="360" w:lineRule="auto"/>
        <w:ind w:left="105" w:right="105" w:firstLine="400"/>
        <w:rPr>
          <w:rFonts w:hint="eastAsia" w:ascii="宋体" w:hAnsi="宋体" w:cs="宋体"/>
          <w:kern w:val="0"/>
          <w:szCs w:val="21"/>
        </w:rPr>
      </w:pPr>
      <w:r>
        <w:rPr>
          <w:rFonts w:ascii="宋体" w:hAnsi="宋体"/>
        </w:rPr>
        <w:t>3.</w:t>
      </w:r>
      <w:r>
        <w:rPr>
          <w:rFonts w:hint="eastAsia" w:ascii="宋体" w:hAnsi="宋体"/>
        </w:rPr>
        <w:t>8</w:t>
      </w:r>
      <w:r>
        <w:rPr>
          <w:rFonts w:hint="eastAsia" w:ascii="宋体" w:hAnsi="宋体" w:cs="宋体"/>
          <w:kern w:val="0"/>
          <w:szCs w:val="21"/>
        </w:rPr>
        <w:t>与招标人存在利害关系可能影响招标公正性的法人、其他组织或者个人，不得参加投标。单位负责人为同一人或者存在控股、管理关系的不同单位，不得参加同一标段投标或者未划分标段的同一招标项目投标。</w:t>
      </w:r>
    </w:p>
    <w:p>
      <w:pPr>
        <w:pStyle w:val="2"/>
        <w:snapToGrid w:val="0"/>
        <w:spacing w:before="156" w:beforeLines="50" w:after="0" w:line="360" w:lineRule="auto"/>
        <w:ind w:left="108" w:right="108"/>
        <w:rPr>
          <w:rFonts w:ascii="宋体" w:hAnsi="宋体" w:eastAsia="宋体"/>
          <w:bCs/>
          <w:caps/>
          <w:sz w:val="24"/>
          <w:szCs w:val="24"/>
        </w:rPr>
      </w:pPr>
      <w:bookmarkStart w:id="50" w:name="_Toc11049"/>
      <w:r>
        <w:rPr>
          <w:rFonts w:ascii="宋体" w:hAnsi="宋体" w:eastAsia="宋体"/>
          <w:bCs/>
          <w:caps/>
          <w:sz w:val="24"/>
          <w:szCs w:val="24"/>
        </w:rPr>
        <w:t>4. 招标文件的获取</w:t>
      </w:r>
      <w:bookmarkEnd w:id="40"/>
      <w:bookmarkEnd w:id="41"/>
      <w:bookmarkEnd w:id="42"/>
      <w:bookmarkEnd w:id="43"/>
      <w:bookmarkEnd w:id="44"/>
      <w:bookmarkEnd w:id="45"/>
      <w:bookmarkEnd w:id="46"/>
      <w:bookmarkEnd w:id="47"/>
      <w:bookmarkEnd w:id="48"/>
      <w:bookmarkEnd w:id="49"/>
      <w:bookmarkEnd w:id="50"/>
    </w:p>
    <w:p>
      <w:pPr>
        <w:spacing w:line="360" w:lineRule="auto"/>
        <w:ind w:left="105" w:right="105" w:firstLine="400"/>
        <w:rPr>
          <w:rFonts w:ascii="宋体" w:hAnsi="宋体"/>
        </w:rPr>
      </w:pPr>
      <w:bookmarkStart w:id="51" w:name="_Toc306440266"/>
      <w:bookmarkStart w:id="52" w:name="_Toc373494732"/>
      <w:bookmarkStart w:id="53" w:name="_Toc375828030"/>
      <w:bookmarkStart w:id="54" w:name="_Toc375056592"/>
      <w:bookmarkStart w:id="55" w:name="_Toc269567140"/>
      <w:bookmarkStart w:id="56" w:name="_Toc424133236"/>
      <w:bookmarkStart w:id="57" w:name="_Toc375055847"/>
      <w:r>
        <w:rPr>
          <w:rFonts w:hint="eastAsia" w:ascii="宋体" w:hAnsi="宋体"/>
        </w:rPr>
        <w:t>4.1获取招标文件时间：2023年</w:t>
      </w:r>
      <w:r>
        <w:rPr>
          <w:rFonts w:ascii="宋体" w:hAnsi="宋体"/>
        </w:rPr>
        <w:t>12</w:t>
      </w:r>
      <w:r>
        <w:rPr>
          <w:rFonts w:hint="eastAsia" w:ascii="宋体" w:hAnsi="宋体"/>
        </w:rPr>
        <w:t>月</w:t>
      </w:r>
      <w:r>
        <w:rPr>
          <w:rFonts w:ascii="宋体" w:hAnsi="宋体"/>
        </w:rPr>
        <w:t>14</w:t>
      </w:r>
      <w:r>
        <w:rPr>
          <w:rFonts w:hint="eastAsia" w:ascii="宋体" w:hAnsi="宋体"/>
        </w:rPr>
        <w:t>日起至2023年</w:t>
      </w:r>
      <w:r>
        <w:rPr>
          <w:rFonts w:ascii="宋体" w:hAnsi="宋体"/>
        </w:rPr>
        <w:t>12</w:t>
      </w:r>
      <w:r>
        <w:rPr>
          <w:rFonts w:hint="eastAsia" w:ascii="宋体" w:hAnsi="宋体"/>
        </w:rPr>
        <w:t>月</w:t>
      </w:r>
      <w:r>
        <w:rPr>
          <w:rFonts w:ascii="宋体" w:hAnsi="宋体"/>
        </w:rPr>
        <w:t>21</w:t>
      </w:r>
      <w:r>
        <w:rPr>
          <w:rFonts w:hint="eastAsia" w:ascii="宋体" w:hAnsi="宋体"/>
        </w:rPr>
        <w:t>日</w:t>
      </w:r>
      <w:r>
        <w:rPr>
          <w:rFonts w:ascii="宋体" w:hAnsi="宋体"/>
        </w:rPr>
        <w:t>17</w:t>
      </w:r>
      <w:r>
        <w:rPr>
          <w:rFonts w:hint="eastAsia" w:ascii="宋体" w:hAnsi="宋体"/>
        </w:rPr>
        <w:t>时</w:t>
      </w:r>
      <w:r>
        <w:rPr>
          <w:rFonts w:ascii="宋体" w:hAnsi="宋体"/>
        </w:rPr>
        <w:t>30</w:t>
      </w:r>
      <w:r>
        <w:rPr>
          <w:rFonts w:hint="eastAsia" w:ascii="宋体" w:hAnsi="宋体"/>
        </w:rPr>
        <w:t>分止（工作时间）；</w:t>
      </w:r>
    </w:p>
    <w:p>
      <w:pPr>
        <w:spacing w:line="360" w:lineRule="auto"/>
        <w:ind w:left="105" w:right="105" w:firstLine="400"/>
        <w:rPr>
          <w:rFonts w:ascii="宋体" w:hAnsi="宋体"/>
        </w:rPr>
      </w:pPr>
      <w:r>
        <w:rPr>
          <w:rFonts w:hint="eastAsia" w:ascii="宋体" w:hAnsi="宋体"/>
        </w:rPr>
        <w:t>4.2获取招标文件方式：本项目招标文件实行“嘉兴禾采联综合采购服务平台”在线获取，不提供招标文件纸质版，请登录嘉兴禾采联综合采购服务平台（http://www.jxcqgs.cn/jxcqcg/）—“供应商登录”，免费注册完成后，下载获取后缀名为“.JXCQZF”的发包文件等。注册咨询、技术服务电话：0573-82813680。</w:t>
      </w:r>
    </w:p>
    <w:p>
      <w:pPr>
        <w:spacing w:line="360" w:lineRule="auto"/>
        <w:ind w:left="105" w:right="105" w:firstLine="400"/>
        <w:rPr>
          <w:rFonts w:ascii="宋体" w:hAnsi="宋体"/>
        </w:rPr>
      </w:pPr>
      <w:r>
        <w:rPr>
          <w:rFonts w:hint="eastAsia" w:ascii="宋体" w:hAnsi="宋体"/>
        </w:rPr>
        <w:t>注：请投标人按上述要求获取招标文件，如未在嘉兴禾采联综合采购服务平台系统内完成相关流程，引起的投标无效责任自担。</w:t>
      </w:r>
    </w:p>
    <w:p>
      <w:pPr>
        <w:spacing w:line="360" w:lineRule="auto"/>
        <w:ind w:left="105" w:right="105" w:firstLine="400"/>
        <w:rPr>
          <w:rFonts w:ascii="宋体" w:hAnsi="宋体"/>
        </w:rPr>
      </w:pPr>
      <w:r>
        <w:rPr>
          <w:rFonts w:hint="eastAsia" w:ascii="宋体" w:hAnsi="宋体"/>
        </w:rPr>
        <w:t>4.3报名时间及方式：报名时间同招标文件获取时间。</w:t>
      </w:r>
    </w:p>
    <w:p>
      <w:pPr>
        <w:spacing w:line="360" w:lineRule="auto"/>
        <w:ind w:left="105" w:right="105" w:firstLine="400"/>
        <w:rPr>
          <w:rFonts w:ascii="宋体" w:hAnsi="宋体"/>
        </w:rPr>
      </w:pPr>
      <w:r>
        <w:rPr>
          <w:rFonts w:hint="eastAsia" w:ascii="宋体" w:hAnsi="宋体"/>
        </w:rPr>
        <w:t>本项目实行网上报名。投标人请登录嘉兴禾采联综合采购服务平台（http://www.jxcqgs.cn/jxcqcg/）—“供应商登录”，进行下载发包文件，即报名成功。</w:t>
      </w:r>
    </w:p>
    <w:p>
      <w:pPr>
        <w:pStyle w:val="2"/>
        <w:snapToGrid w:val="0"/>
        <w:spacing w:before="156" w:beforeLines="50" w:after="0" w:line="360" w:lineRule="auto"/>
        <w:ind w:left="108" w:right="108"/>
        <w:rPr>
          <w:rFonts w:ascii="宋体" w:hAnsi="宋体" w:eastAsia="宋体"/>
          <w:bCs/>
          <w:caps/>
          <w:sz w:val="24"/>
          <w:szCs w:val="24"/>
        </w:rPr>
      </w:pPr>
      <w:bookmarkStart w:id="58" w:name="_Toc23051"/>
      <w:r>
        <w:rPr>
          <w:rFonts w:ascii="宋体" w:hAnsi="宋体" w:eastAsia="宋体"/>
          <w:bCs/>
          <w:caps/>
          <w:sz w:val="24"/>
          <w:szCs w:val="24"/>
        </w:rPr>
        <w:t>5. 投标文件的递交</w:t>
      </w:r>
      <w:bookmarkEnd w:id="51"/>
      <w:bookmarkEnd w:id="52"/>
      <w:bookmarkEnd w:id="53"/>
      <w:bookmarkEnd w:id="54"/>
      <w:bookmarkEnd w:id="55"/>
      <w:bookmarkEnd w:id="56"/>
      <w:bookmarkEnd w:id="57"/>
      <w:bookmarkEnd w:id="58"/>
    </w:p>
    <w:p>
      <w:pPr>
        <w:spacing w:line="360" w:lineRule="auto"/>
        <w:ind w:firstLine="420"/>
        <w:rPr>
          <w:rFonts w:hint="eastAsia" w:ascii="宋体" w:hAnsi="宋体" w:cs="宋体"/>
          <w:kern w:val="0"/>
          <w:szCs w:val="21"/>
        </w:rPr>
      </w:pPr>
      <w:r>
        <w:rPr>
          <w:rFonts w:hint="eastAsia" w:ascii="宋体" w:hAnsi="宋体" w:cs="宋体"/>
          <w:kern w:val="0"/>
          <w:szCs w:val="21"/>
        </w:rPr>
        <w:t>5.1投标文件递交地址：请登录嘉兴禾采联综合采购服务平台（http://www.jxcqgs.cn/jxcqcg/）—“供应商登录”，在投标截止日期前上传投标文件，提示上传成功即完成投标。本项目通过嘉兴禾采联综合采购服务平台投标制作软件编制并加密投标文件，投标人未按规定加密的投标文件，嘉兴禾采联综合采购服务平台将予以拒收。</w:t>
      </w:r>
    </w:p>
    <w:p>
      <w:pPr>
        <w:spacing w:line="360" w:lineRule="auto"/>
        <w:ind w:firstLine="420"/>
        <w:rPr>
          <w:rFonts w:hint="eastAsia" w:ascii="宋体" w:hAnsi="宋体" w:cs="宋体"/>
          <w:kern w:val="0"/>
          <w:szCs w:val="21"/>
        </w:rPr>
      </w:pPr>
      <w:r>
        <w:rPr>
          <w:rFonts w:hint="eastAsia" w:ascii="宋体" w:hAnsi="宋体" w:cs="宋体"/>
          <w:kern w:val="0"/>
          <w:szCs w:val="21"/>
        </w:rPr>
        <w:t>5.2开标地址：本次采用远程不见面开标，请投标人在开标前提前登录嘉兴禾采联综合采购服务平台（http://www.jxcqgs.cn/jxcqcg/）—“不见面开标”，登录成功后，参与线上开标流程，完成在线解密。本项目解密时长为30分钟，如未在规定时间内完成解密的，责任由投标人自负。</w:t>
      </w:r>
    </w:p>
    <w:p>
      <w:pPr>
        <w:spacing w:line="360" w:lineRule="auto"/>
        <w:ind w:firstLine="420"/>
        <w:rPr>
          <w:rFonts w:hint="eastAsia" w:ascii="宋体" w:hAnsi="宋体" w:cs="宋体"/>
          <w:kern w:val="0"/>
          <w:szCs w:val="21"/>
        </w:rPr>
      </w:pPr>
      <w:r>
        <w:rPr>
          <w:rFonts w:hint="eastAsia" w:ascii="宋体" w:hAnsi="宋体" w:cs="宋体"/>
          <w:kern w:val="0"/>
          <w:szCs w:val="21"/>
        </w:rPr>
        <w:t>注：相关制作软件及操作手册请在嘉兴禾采联综合采购服务平台首页办事指南及下载中心自行下载。</w:t>
      </w:r>
    </w:p>
    <w:p>
      <w:pPr>
        <w:spacing w:line="360" w:lineRule="auto"/>
        <w:ind w:firstLine="420"/>
        <w:rPr>
          <w:rFonts w:ascii="宋体" w:hAnsi="宋体" w:cs="宋体"/>
          <w:kern w:val="0"/>
          <w:szCs w:val="21"/>
        </w:rPr>
      </w:pPr>
      <w:r>
        <w:rPr>
          <w:rFonts w:ascii="宋体" w:hAnsi="宋体" w:cs="宋体"/>
          <w:kern w:val="0"/>
          <w:szCs w:val="21"/>
        </w:rPr>
        <w:t xml:space="preserve">5.3 </w:t>
      </w:r>
      <w:r>
        <w:rPr>
          <w:rFonts w:hint="eastAsia" w:ascii="宋体" w:hAnsi="宋体" w:cs="宋体"/>
          <w:kern w:val="0"/>
          <w:szCs w:val="21"/>
        </w:rPr>
        <w:t>投标文件递交截止时间：</w:t>
      </w:r>
      <w:r>
        <w:rPr>
          <w:rFonts w:ascii="宋体" w:hAnsi="宋体" w:cs="宋体"/>
          <w:kern w:val="0"/>
          <w:szCs w:val="21"/>
        </w:rPr>
        <w:t>202</w:t>
      </w:r>
      <w:r>
        <w:rPr>
          <w:rFonts w:hint="eastAsia" w:ascii="宋体" w:hAnsi="宋体" w:cs="宋体"/>
          <w:kern w:val="0"/>
          <w:szCs w:val="21"/>
        </w:rPr>
        <w:t>3年</w:t>
      </w:r>
      <w:r>
        <w:rPr>
          <w:rFonts w:ascii="宋体" w:hAnsi="宋体" w:cs="宋体"/>
          <w:kern w:val="0"/>
          <w:szCs w:val="21"/>
        </w:rPr>
        <w:t>12</w:t>
      </w:r>
      <w:r>
        <w:rPr>
          <w:rFonts w:hint="eastAsia" w:ascii="宋体" w:hAnsi="宋体" w:cs="宋体"/>
          <w:kern w:val="0"/>
          <w:szCs w:val="21"/>
        </w:rPr>
        <w:t>月</w:t>
      </w:r>
      <w:r>
        <w:rPr>
          <w:rFonts w:ascii="宋体" w:hAnsi="宋体" w:cs="宋体"/>
          <w:kern w:val="0"/>
          <w:szCs w:val="21"/>
        </w:rPr>
        <w:t>22</w:t>
      </w:r>
      <w:r>
        <w:rPr>
          <w:rFonts w:hint="eastAsia" w:ascii="宋体" w:hAnsi="宋体" w:cs="宋体"/>
          <w:kern w:val="0"/>
          <w:szCs w:val="21"/>
        </w:rPr>
        <w:t>日</w:t>
      </w:r>
      <w:r>
        <w:rPr>
          <w:rFonts w:ascii="宋体" w:hAnsi="宋体" w:cs="宋体"/>
          <w:kern w:val="0"/>
          <w:szCs w:val="21"/>
        </w:rPr>
        <w:t>09</w:t>
      </w:r>
      <w:r>
        <w:rPr>
          <w:rFonts w:hint="eastAsia" w:ascii="宋体" w:hAnsi="宋体" w:cs="宋体"/>
          <w:kern w:val="0"/>
          <w:szCs w:val="21"/>
        </w:rPr>
        <w:t>时</w:t>
      </w:r>
      <w:r>
        <w:rPr>
          <w:rFonts w:ascii="宋体" w:hAnsi="宋体" w:cs="宋体"/>
          <w:kern w:val="0"/>
          <w:szCs w:val="21"/>
        </w:rPr>
        <w:t>30</w:t>
      </w:r>
      <w:r>
        <w:rPr>
          <w:rFonts w:hint="eastAsia" w:ascii="宋体" w:hAnsi="宋体" w:cs="宋体"/>
          <w:kern w:val="0"/>
          <w:szCs w:val="21"/>
        </w:rPr>
        <w:t>分。</w:t>
      </w:r>
    </w:p>
    <w:p>
      <w:pPr>
        <w:spacing w:line="360" w:lineRule="auto"/>
        <w:ind w:firstLine="420"/>
        <w:rPr>
          <w:rFonts w:hint="eastAsia" w:ascii="宋体" w:hAnsi="宋体" w:cs="宋体"/>
          <w:kern w:val="0"/>
          <w:szCs w:val="21"/>
        </w:rPr>
      </w:pPr>
      <w:r>
        <w:rPr>
          <w:rFonts w:ascii="宋体" w:hAnsi="宋体" w:cs="宋体"/>
          <w:kern w:val="0"/>
          <w:szCs w:val="21"/>
        </w:rPr>
        <w:t xml:space="preserve">5.4 </w:t>
      </w:r>
      <w:r>
        <w:rPr>
          <w:rFonts w:hint="eastAsia" w:ascii="宋体" w:hAnsi="宋体" w:cs="宋体"/>
          <w:kern w:val="0"/>
          <w:szCs w:val="21"/>
        </w:rPr>
        <w:t>开标时间：同投标文件递交截止时间。</w:t>
      </w:r>
    </w:p>
    <w:p>
      <w:pPr>
        <w:pStyle w:val="2"/>
        <w:snapToGrid w:val="0"/>
        <w:spacing w:before="156" w:beforeLines="50" w:after="0" w:line="360" w:lineRule="auto"/>
        <w:ind w:left="108" w:right="108"/>
        <w:rPr>
          <w:rFonts w:hint="eastAsia" w:ascii="宋体" w:hAnsi="宋体" w:eastAsia="宋体"/>
          <w:bCs/>
          <w:caps/>
          <w:sz w:val="24"/>
          <w:szCs w:val="24"/>
        </w:rPr>
      </w:pPr>
      <w:bookmarkStart w:id="59" w:name="_Toc10992"/>
      <w:r>
        <w:rPr>
          <w:rFonts w:hint="eastAsia" w:ascii="宋体" w:hAnsi="宋体" w:eastAsia="宋体"/>
          <w:bCs/>
          <w:caps/>
          <w:sz w:val="24"/>
          <w:szCs w:val="24"/>
        </w:rPr>
        <w:t>6.投标注意事项</w:t>
      </w:r>
      <w:bookmarkEnd w:id="59"/>
    </w:p>
    <w:p>
      <w:pPr>
        <w:spacing w:line="360" w:lineRule="auto"/>
        <w:ind w:firstLine="420"/>
        <w:rPr>
          <w:rFonts w:hint="eastAsia" w:ascii="宋体" w:hAnsi="宋体" w:cs="宋体"/>
          <w:kern w:val="0"/>
          <w:szCs w:val="21"/>
        </w:rPr>
      </w:pPr>
      <w:r>
        <w:rPr>
          <w:rFonts w:hint="eastAsia" w:ascii="宋体" w:hAnsi="宋体" w:cs="宋体"/>
          <w:kern w:val="0"/>
          <w:szCs w:val="21"/>
        </w:rPr>
        <w:t>远程不见面开标：是指将传统的开标场所搬到网上，招标人、投标人只需登录网上不见面开标大厅（http://www.jxcqgs.cn/BidOpening/bidhall/default/login），无需到开标现场参与即可进行投标文件在线解密、投标人在线提问、招标人在线回复等操作。</w:t>
      </w:r>
    </w:p>
    <w:p>
      <w:pPr>
        <w:spacing w:line="360" w:lineRule="auto"/>
        <w:ind w:firstLine="420"/>
        <w:rPr>
          <w:rFonts w:hint="eastAsia" w:ascii="宋体" w:hAnsi="宋体" w:cs="宋体"/>
          <w:kern w:val="0"/>
          <w:szCs w:val="21"/>
        </w:rPr>
      </w:pPr>
      <w:r>
        <w:rPr>
          <w:rFonts w:hint="eastAsia" w:ascii="宋体" w:hAnsi="宋体" w:cs="宋体"/>
          <w:kern w:val="0"/>
          <w:szCs w:val="21"/>
        </w:rPr>
        <w:t>CA锁和嘉兴市公共资源交易系统通用。</w:t>
      </w:r>
    </w:p>
    <w:p>
      <w:pPr>
        <w:pStyle w:val="2"/>
        <w:snapToGrid w:val="0"/>
        <w:spacing w:before="156" w:beforeLines="50" w:after="0" w:line="360" w:lineRule="auto"/>
        <w:ind w:left="108" w:right="108"/>
        <w:rPr>
          <w:rFonts w:ascii="宋体" w:hAnsi="宋体" w:eastAsia="宋体"/>
          <w:bCs/>
          <w:caps/>
          <w:sz w:val="24"/>
          <w:szCs w:val="24"/>
        </w:rPr>
      </w:pPr>
      <w:bookmarkStart w:id="60" w:name="_Toc375056593"/>
      <w:bookmarkStart w:id="61" w:name="_Toc373494733"/>
      <w:bookmarkStart w:id="62" w:name="_Toc306440267"/>
      <w:bookmarkStart w:id="63" w:name="_Toc269567141"/>
      <w:bookmarkStart w:id="64" w:name="_Toc424133237"/>
      <w:bookmarkStart w:id="65" w:name="_Toc375055848"/>
      <w:bookmarkStart w:id="66" w:name="_Toc22354"/>
      <w:bookmarkStart w:id="67" w:name="_Toc375828031"/>
      <w:bookmarkStart w:id="68" w:name="_Toc157499355"/>
      <w:r>
        <w:rPr>
          <w:rFonts w:hint="eastAsia" w:ascii="宋体" w:hAnsi="宋体" w:eastAsia="宋体"/>
          <w:bCs/>
          <w:caps/>
          <w:sz w:val="24"/>
          <w:szCs w:val="24"/>
        </w:rPr>
        <w:t>7</w:t>
      </w:r>
      <w:r>
        <w:rPr>
          <w:rFonts w:ascii="宋体" w:hAnsi="宋体" w:eastAsia="宋体"/>
          <w:bCs/>
          <w:caps/>
          <w:sz w:val="24"/>
          <w:szCs w:val="24"/>
        </w:rPr>
        <w:t>. 发布公告的媒介</w:t>
      </w:r>
      <w:bookmarkEnd w:id="60"/>
      <w:bookmarkEnd w:id="61"/>
      <w:bookmarkEnd w:id="62"/>
      <w:bookmarkEnd w:id="63"/>
      <w:bookmarkEnd w:id="64"/>
      <w:bookmarkEnd w:id="65"/>
      <w:bookmarkEnd w:id="66"/>
      <w:bookmarkEnd w:id="67"/>
      <w:bookmarkEnd w:id="68"/>
    </w:p>
    <w:p>
      <w:pPr>
        <w:pStyle w:val="4"/>
        <w:spacing w:line="360" w:lineRule="auto"/>
        <w:ind w:firstLine="411" w:firstLineChars="196"/>
        <w:rPr>
          <w:rFonts w:hint="eastAsia" w:ascii="宋体" w:hAnsi="宋体" w:eastAsia="宋体"/>
          <w:sz w:val="21"/>
          <w:szCs w:val="21"/>
        </w:rPr>
      </w:pPr>
      <w:bookmarkStart w:id="69" w:name="_Toc144974485"/>
      <w:bookmarkStart w:id="70" w:name="_Toc424133238"/>
      <w:bookmarkStart w:id="71" w:name="_Toc375055849"/>
      <w:bookmarkStart w:id="72" w:name="_Toc375828032"/>
      <w:bookmarkStart w:id="73" w:name="_Toc152042293"/>
      <w:bookmarkStart w:id="74" w:name="_Toc375056594"/>
      <w:bookmarkStart w:id="75" w:name="_Toc269567142"/>
      <w:bookmarkStart w:id="76" w:name="_Toc306440268"/>
      <w:bookmarkStart w:id="77" w:name="_Toc373494734"/>
      <w:bookmarkStart w:id="78" w:name="_Toc152045517"/>
      <w:r>
        <w:rPr>
          <w:rFonts w:hint="eastAsia" w:ascii="宋体" w:hAnsi="宋体" w:eastAsia="宋体"/>
          <w:sz w:val="21"/>
          <w:szCs w:val="21"/>
        </w:rPr>
        <w:t>本次招标公告将同时在嘉兴禾采联综合采购服务平台（http://www.jxcqgs.cn/jxcqcg/）、嘉兴市公共资源交易中心网站（http://jxszwsjb.jiaxing.gov.cn）和嘉兴市交通投资集团有限责任公司网站（http://www.jxjtjt.cn/）发布。</w:t>
      </w:r>
    </w:p>
    <w:p>
      <w:pPr>
        <w:pStyle w:val="2"/>
        <w:snapToGrid w:val="0"/>
        <w:spacing w:before="156" w:beforeLines="50" w:after="0" w:line="360" w:lineRule="auto"/>
        <w:ind w:left="108" w:right="108"/>
        <w:rPr>
          <w:rFonts w:ascii="宋体" w:hAnsi="宋体" w:eastAsia="宋体"/>
          <w:bCs/>
          <w:caps/>
          <w:sz w:val="24"/>
          <w:szCs w:val="24"/>
        </w:rPr>
      </w:pPr>
      <w:bookmarkStart w:id="79" w:name="_Toc3560"/>
      <w:r>
        <w:rPr>
          <w:rFonts w:hint="eastAsia" w:ascii="宋体" w:hAnsi="宋体" w:eastAsia="宋体"/>
          <w:bCs/>
          <w:caps/>
          <w:sz w:val="24"/>
          <w:szCs w:val="24"/>
        </w:rPr>
        <w:t>8</w:t>
      </w:r>
      <w:r>
        <w:rPr>
          <w:rFonts w:ascii="宋体" w:hAnsi="宋体" w:eastAsia="宋体"/>
          <w:bCs/>
          <w:caps/>
          <w:sz w:val="24"/>
          <w:szCs w:val="24"/>
        </w:rPr>
        <w:t>. 联系方式</w:t>
      </w:r>
      <w:bookmarkEnd w:id="69"/>
      <w:bookmarkEnd w:id="70"/>
      <w:bookmarkEnd w:id="71"/>
      <w:bookmarkEnd w:id="72"/>
      <w:bookmarkEnd w:id="73"/>
      <w:bookmarkEnd w:id="74"/>
      <w:bookmarkEnd w:id="75"/>
      <w:bookmarkEnd w:id="76"/>
      <w:bookmarkEnd w:id="77"/>
      <w:bookmarkEnd w:id="78"/>
      <w:bookmarkEnd w:id="79"/>
    </w:p>
    <w:p>
      <w:pPr>
        <w:pStyle w:val="4"/>
        <w:spacing w:line="360" w:lineRule="auto"/>
        <w:ind w:firstLine="411" w:firstLineChars="196"/>
        <w:rPr>
          <w:rFonts w:hint="eastAsia" w:ascii="宋体" w:hAnsi="宋体" w:eastAsia="宋体"/>
          <w:sz w:val="21"/>
          <w:szCs w:val="21"/>
        </w:rPr>
      </w:pPr>
      <w:r>
        <w:rPr>
          <w:rFonts w:ascii="宋体" w:hAnsi="宋体" w:eastAsia="宋体"/>
          <w:sz w:val="21"/>
          <w:szCs w:val="21"/>
        </w:rPr>
        <w:t>招</w:t>
      </w:r>
      <w:r>
        <w:rPr>
          <w:rFonts w:hint="eastAsia" w:ascii="宋体" w:hAnsi="宋体" w:eastAsia="宋体"/>
          <w:sz w:val="21"/>
          <w:szCs w:val="21"/>
        </w:rPr>
        <w:t xml:space="preserve"> </w:t>
      </w:r>
      <w:r>
        <w:rPr>
          <w:rFonts w:ascii="宋体" w:hAnsi="宋体" w:eastAsia="宋体"/>
          <w:sz w:val="21"/>
          <w:szCs w:val="21"/>
        </w:rPr>
        <w:t>标</w:t>
      </w:r>
      <w:r>
        <w:rPr>
          <w:rFonts w:hint="eastAsia" w:ascii="宋体" w:hAnsi="宋体" w:eastAsia="宋体"/>
          <w:sz w:val="21"/>
          <w:szCs w:val="21"/>
        </w:rPr>
        <w:t xml:space="preserve"> </w:t>
      </w:r>
      <w:r>
        <w:rPr>
          <w:rFonts w:ascii="宋体" w:hAnsi="宋体" w:eastAsia="宋体"/>
          <w:sz w:val="21"/>
          <w:szCs w:val="21"/>
        </w:rPr>
        <w:t>人</w:t>
      </w:r>
      <w:r>
        <w:rPr>
          <w:rFonts w:hint="eastAsia" w:ascii="宋体" w:hAnsi="宋体" w:eastAsia="宋体"/>
          <w:sz w:val="21"/>
          <w:szCs w:val="21"/>
        </w:rPr>
        <w:t xml:space="preserve">：嘉兴市交通投资集团有限责任公司         </w:t>
      </w:r>
      <w:r>
        <w:rPr>
          <w:rFonts w:ascii="宋体" w:hAnsi="宋体" w:eastAsia="宋体"/>
          <w:sz w:val="21"/>
          <w:szCs w:val="21"/>
        </w:rPr>
        <w:t>招标代理：</w:t>
      </w:r>
      <w:r>
        <w:rPr>
          <w:rFonts w:hint="eastAsia" w:ascii="宋体" w:hAnsi="宋体" w:eastAsia="宋体"/>
          <w:sz w:val="21"/>
          <w:szCs w:val="21"/>
        </w:rPr>
        <w:t>公诚管理咨询有限公司</w:t>
      </w:r>
    </w:p>
    <w:p>
      <w:pPr>
        <w:pStyle w:val="4"/>
        <w:spacing w:line="360" w:lineRule="auto"/>
        <w:ind w:firstLine="411" w:firstLineChars="196"/>
        <w:jc w:val="right"/>
        <w:rPr>
          <w:rFonts w:ascii="宋体" w:hAnsi="宋体" w:eastAsia="宋体"/>
          <w:sz w:val="21"/>
          <w:szCs w:val="21"/>
        </w:rPr>
      </w:pPr>
      <w:r>
        <w:rPr>
          <w:rFonts w:ascii="宋体" w:hAnsi="宋体" w:eastAsia="宋体"/>
          <w:sz w:val="21"/>
          <w:szCs w:val="21"/>
        </w:rPr>
        <w:t>地</w:t>
      </w:r>
      <w:r>
        <w:rPr>
          <w:rFonts w:hint="eastAsia" w:ascii="宋体" w:hAnsi="宋体" w:eastAsia="宋体"/>
          <w:sz w:val="21"/>
          <w:szCs w:val="21"/>
        </w:rPr>
        <w:t xml:space="preserve">    </w:t>
      </w:r>
      <w:r>
        <w:rPr>
          <w:rFonts w:ascii="宋体" w:hAnsi="宋体" w:eastAsia="宋体"/>
          <w:sz w:val="21"/>
          <w:szCs w:val="21"/>
        </w:rPr>
        <w:t>址</w:t>
      </w:r>
      <w:r>
        <w:rPr>
          <w:rFonts w:hint="eastAsia" w:ascii="宋体" w:hAnsi="宋体" w:eastAsia="宋体"/>
          <w:sz w:val="21"/>
          <w:szCs w:val="21"/>
        </w:rPr>
        <w:t xml:space="preserve">：嘉兴市南湖大道902号                   </w:t>
      </w:r>
      <w:r>
        <w:rPr>
          <w:rFonts w:ascii="宋体" w:hAnsi="宋体" w:eastAsia="宋体"/>
          <w:sz w:val="21"/>
          <w:szCs w:val="21"/>
        </w:rPr>
        <w:t>地</w:t>
      </w:r>
      <w:r>
        <w:rPr>
          <w:rFonts w:hint="eastAsia" w:ascii="宋体" w:hAnsi="宋体" w:eastAsia="宋体"/>
          <w:sz w:val="21"/>
          <w:szCs w:val="21"/>
        </w:rPr>
        <w:t xml:space="preserve">    </w:t>
      </w:r>
      <w:r>
        <w:rPr>
          <w:rFonts w:ascii="宋体" w:hAnsi="宋体" w:eastAsia="宋体"/>
          <w:sz w:val="21"/>
          <w:szCs w:val="21"/>
        </w:rPr>
        <w:t>址：</w:t>
      </w:r>
      <w:r>
        <w:rPr>
          <w:rFonts w:hint="eastAsia" w:ascii="宋体" w:hAnsi="宋体" w:eastAsia="宋体"/>
          <w:sz w:val="21"/>
          <w:szCs w:val="21"/>
        </w:rPr>
        <w:t xml:space="preserve">杭州市拱墅区舟山东路198号宸创大厦15楼  </w:t>
      </w:r>
    </w:p>
    <w:p>
      <w:pPr>
        <w:pStyle w:val="4"/>
        <w:spacing w:line="360" w:lineRule="auto"/>
        <w:ind w:firstLine="411" w:firstLineChars="196"/>
        <w:rPr>
          <w:rFonts w:hint="eastAsia" w:ascii="宋体" w:hAnsi="宋体" w:eastAsia="宋体"/>
          <w:sz w:val="21"/>
          <w:szCs w:val="21"/>
        </w:rPr>
      </w:pPr>
      <w:r>
        <w:rPr>
          <w:rFonts w:ascii="宋体" w:hAnsi="宋体" w:eastAsia="宋体"/>
          <w:sz w:val="21"/>
          <w:szCs w:val="21"/>
        </w:rPr>
        <w:t>联 系 人：</w:t>
      </w:r>
      <w:r>
        <w:rPr>
          <w:rFonts w:hint="eastAsia" w:ascii="宋体" w:hAnsi="宋体" w:eastAsia="宋体"/>
          <w:sz w:val="21"/>
          <w:szCs w:val="21"/>
        </w:rPr>
        <w:t xml:space="preserve">陆先生                                 </w:t>
      </w:r>
      <w:r>
        <w:rPr>
          <w:rFonts w:ascii="宋体" w:hAnsi="宋体" w:eastAsia="宋体"/>
          <w:sz w:val="21"/>
          <w:szCs w:val="21"/>
        </w:rPr>
        <w:t>联 系 人：</w:t>
      </w:r>
      <w:r>
        <w:rPr>
          <w:rFonts w:hint="eastAsia" w:ascii="宋体" w:hAnsi="宋体" w:eastAsia="宋体"/>
          <w:sz w:val="21"/>
          <w:szCs w:val="21"/>
        </w:rPr>
        <w:t>陈红</w:t>
      </w:r>
    </w:p>
    <w:p>
      <w:pPr>
        <w:pStyle w:val="4"/>
        <w:spacing w:line="360" w:lineRule="auto"/>
        <w:ind w:firstLine="411" w:firstLineChars="196"/>
        <w:rPr>
          <w:rFonts w:ascii="宋体" w:hAnsi="宋体" w:eastAsia="宋体"/>
          <w:sz w:val="21"/>
          <w:szCs w:val="21"/>
        </w:rPr>
      </w:pPr>
      <w:r>
        <w:rPr>
          <w:rFonts w:hint="eastAsia" w:ascii="宋体" w:hAnsi="宋体" w:eastAsia="宋体"/>
          <w:sz w:val="21"/>
          <w:szCs w:val="21"/>
        </w:rPr>
        <w:t xml:space="preserve">电    话：13819338633        </w:t>
      </w:r>
      <w:r>
        <w:rPr>
          <w:rFonts w:ascii="宋体" w:hAnsi="宋体" w:eastAsia="宋体"/>
          <w:sz w:val="21"/>
          <w:szCs w:val="21"/>
        </w:rPr>
        <w:t xml:space="preserve">                </w:t>
      </w:r>
      <w:r>
        <w:rPr>
          <w:rFonts w:hint="eastAsia" w:ascii="宋体" w:hAnsi="宋体" w:eastAsia="宋体"/>
          <w:sz w:val="21"/>
          <w:szCs w:val="21"/>
        </w:rPr>
        <w:t xml:space="preserve">    </w:t>
      </w:r>
      <w:r>
        <w:rPr>
          <w:rFonts w:ascii="宋体" w:hAnsi="宋体" w:eastAsia="宋体"/>
          <w:sz w:val="21"/>
          <w:szCs w:val="21"/>
        </w:rPr>
        <w:t>电    话：</w:t>
      </w:r>
      <w:r>
        <w:rPr>
          <w:rFonts w:hint="eastAsia" w:ascii="宋体" w:hAnsi="宋体" w:eastAsia="宋体"/>
          <w:sz w:val="21"/>
          <w:szCs w:val="21"/>
        </w:rPr>
        <w:t xml:space="preserve">15068860857 </w:t>
      </w:r>
    </w:p>
    <w:p>
      <w:pPr>
        <w:pStyle w:val="4"/>
        <w:spacing w:line="360" w:lineRule="auto"/>
        <w:ind w:firstLine="1671" w:firstLineChars="796"/>
        <w:rPr>
          <w:rFonts w:hint="eastAsia" w:ascii="宋体" w:hAnsi="宋体" w:eastAsia="宋体"/>
          <w:sz w:val="21"/>
          <w:szCs w:val="21"/>
        </w:rPr>
      </w:pPr>
      <w:r>
        <w:rPr>
          <w:rFonts w:ascii="宋体" w:hAnsi="宋体" w:eastAsia="宋体"/>
          <w:sz w:val="21"/>
          <w:szCs w:val="21"/>
        </w:rPr>
        <w:t xml:space="preserve">                                   </w:t>
      </w:r>
      <w:r>
        <w:rPr>
          <w:rFonts w:hint="eastAsia" w:ascii="宋体" w:hAnsi="宋体" w:eastAsia="宋体"/>
          <w:sz w:val="21"/>
          <w:szCs w:val="21"/>
        </w:rPr>
        <w:t xml:space="preserve">  邮箱：</w:t>
      </w:r>
      <w:r>
        <w:fldChar w:fldCharType="begin"/>
      </w:r>
      <w:r>
        <w:instrText xml:space="preserve"> HYPERLINK "mailto:243190242@qq.com" </w:instrText>
      </w:r>
      <w:r>
        <w:fldChar w:fldCharType="separate"/>
      </w:r>
      <w:r>
        <w:rPr>
          <w:rFonts w:hint="eastAsia" w:ascii="宋体" w:hAnsi="宋体" w:eastAsia="宋体"/>
          <w:sz w:val="21"/>
          <w:szCs w:val="21"/>
        </w:rPr>
        <w:t>15068860857@139.com</w:t>
      </w:r>
      <w:r>
        <w:rPr>
          <w:rFonts w:hint="eastAsia" w:ascii="宋体" w:hAnsi="宋体" w:eastAsia="宋体"/>
          <w:sz w:val="21"/>
          <w:szCs w:val="21"/>
        </w:rPr>
        <w:fldChar w:fldCharType="end"/>
      </w:r>
    </w:p>
    <w:p>
      <w:pPr>
        <w:pStyle w:val="4"/>
        <w:spacing w:line="360" w:lineRule="auto"/>
        <w:ind w:firstLine="411" w:firstLineChars="196"/>
        <w:rPr>
          <w:rFonts w:ascii="宋体" w:hAnsi="宋体" w:eastAsia="宋体"/>
          <w:sz w:val="21"/>
          <w:szCs w:val="21"/>
        </w:rPr>
      </w:pPr>
    </w:p>
    <w:p>
      <w:pPr>
        <w:pStyle w:val="9"/>
        <w:rPr>
          <w:rFonts w:hint="eastAsia" w:ascii="宋体" w:hAnsi="宋体" w:cs="宋体"/>
          <w:color w:val="000000"/>
          <w:szCs w:val="21"/>
        </w:rPr>
      </w:pPr>
    </w:p>
    <w:p>
      <w:pPr>
        <w:pStyle w:val="4"/>
        <w:spacing w:line="360" w:lineRule="auto"/>
        <w:ind w:firstLine="411" w:firstLineChars="196"/>
        <w:rPr>
          <w:rFonts w:hint="eastAsia" w:ascii="宋体" w:hAnsi="宋体" w:eastAsia="宋体"/>
          <w:sz w:val="21"/>
          <w:szCs w:val="21"/>
        </w:rPr>
      </w:pPr>
      <w:r>
        <w:rPr>
          <w:rFonts w:hint="eastAsia" w:ascii="宋体" w:hAnsi="宋体" w:eastAsia="宋体"/>
          <w:sz w:val="21"/>
          <w:szCs w:val="21"/>
        </w:rPr>
        <w:t xml:space="preserve">嘉兴禾采联综合采购服务平台联系电话：0573-82816090 </w:t>
      </w:r>
    </w:p>
    <w:p>
      <w:pPr>
        <w:pStyle w:val="4"/>
        <w:spacing w:line="360" w:lineRule="auto"/>
        <w:ind w:firstLine="411" w:firstLineChars="196"/>
        <w:rPr>
          <w:rFonts w:hint="eastAsia" w:ascii="宋体" w:hAnsi="宋体" w:eastAsia="宋体"/>
          <w:sz w:val="21"/>
          <w:szCs w:val="21"/>
        </w:rPr>
      </w:pPr>
      <w:r>
        <w:rPr>
          <w:rFonts w:hint="eastAsia" w:ascii="宋体" w:hAnsi="宋体" w:eastAsia="宋体"/>
          <w:sz w:val="21"/>
          <w:szCs w:val="21"/>
        </w:rPr>
        <w:t>嘉兴禾采联综合采购服务平台技术支持电话：0573-82813680</w:t>
      </w:r>
    </w:p>
    <w:p>
      <w:pPr>
        <w:rPr>
          <w:rFonts w:hint="eastAsia" w:ascii="宋体" w:hAnsi="宋体" w:cs="宋体"/>
          <w:color w:val="000000"/>
          <w:szCs w:val="21"/>
        </w:rPr>
      </w:pPr>
    </w:p>
    <w:p>
      <w:pPr>
        <w:rPr>
          <w:rFonts w:hint="eastAsia" w:ascii="宋体" w:hAnsi="宋体" w:cs="宋体"/>
          <w:color w:val="000000"/>
          <w:szCs w:val="21"/>
        </w:rPr>
      </w:pPr>
    </w:p>
    <w:p>
      <w:pPr>
        <w:pStyle w:val="9"/>
      </w:pPr>
    </w:p>
    <w:p>
      <w:pPr>
        <w:spacing w:line="360" w:lineRule="auto"/>
        <w:ind w:left="105" w:right="105"/>
        <w:jc w:val="right"/>
        <w:rPr>
          <w:rFonts w:hint="eastAsia" w:ascii="宋体" w:hAnsi="宋体"/>
        </w:rPr>
      </w:pPr>
      <w:r>
        <w:rPr>
          <w:rFonts w:hint="eastAsia" w:ascii="宋体" w:hAnsi="宋体"/>
        </w:rPr>
        <w:t>招标单位：嘉兴市交通投资集团有限责任公司</w:t>
      </w:r>
    </w:p>
    <w:p>
      <w:pPr>
        <w:spacing w:line="360" w:lineRule="auto"/>
        <w:ind w:left="105" w:right="105"/>
        <w:jc w:val="right"/>
        <w:rPr>
          <w:rFonts w:hint="eastAsia" w:ascii="宋体" w:hAnsi="宋体"/>
        </w:rPr>
      </w:pPr>
      <w:r>
        <w:rPr>
          <w:rFonts w:hint="eastAsia" w:ascii="宋体" w:hAnsi="宋体"/>
        </w:rPr>
        <w:t>招标代理：公诚管理咨询有限公司</w:t>
      </w:r>
    </w:p>
    <w:p>
      <w:pPr>
        <w:spacing w:line="360" w:lineRule="auto"/>
        <w:ind w:left="105" w:right="105"/>
        <w:jc w:val="right"/>
        <w:rPr>
          <w:rFonts w:hint="eastAsia" w:ascii="宋体" w:hAnsi="宋体"/>
        </w:rPr>
      </w:pPr>
      <w:r>
        <w:rPr>
          <w:rFonts w:ascii="宋体" w:hAnsi="宋体"/>
        </w:rPr>
        <w:t>202</w:t>
      </w:r>
      <w:r>
        <w:rPr>
          <w:rFonts w:hint="eastAsia" w:ascii="宋体" w:hAnsi="宋体"/>
        </w:rPr>
        <w:t>3</w:t>
      </w:r>
      <w:r>
        <w:rPr>
          <w:rFonts w:ascii="宋体" w:hAnsi="宋体"/>
        </w:rPr>
        <w:t>年12月14日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77F"/>
    <w:rsid w:val="0057277F"/>
    <w:rsid w:val="0086454F"/>
    <w:rsid w:val="00C5160F"/>
    <w:rsid w:val="00CB6036"/>
    <w:rsid w:val="00DA3E84"/>
    <w:rsid w:val="00F819E9"/>
    <w:rsid w:val="5FD016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0"/>
      <w:lang w:val="en-US" w:eastAsia="zh-CN" w:bidi="ar-SA"/>
    </w:rPr>
  </w:style>
  <w:style w:type="paragraph" w:styleId="3">
    <w:name w:val="heading 1"/>
    <w:basedOn w:val="1"/>
    <w:next w:val="1"/>
    <w:link w:val="15"/>
    <w:qFormat/>
    <w:uiPriority w:val="0"/>
    <w:pPr>
      <w:keepNext/>
      <w:keepLines/>
      <w:spacing w:before="340" w:after="330" w:line="576" w:lineRule="auto"/>
      <w:outlineLvl w:val="0"/>
    </w:pPr>
    <w:rPr>
      <w:rFonts w:ascii="Times New Roman" w:hAnsi="Times New Roman"/>
      <w:b/>
      <w:kern w:val="44"/>
      <w:sz w:val="44"/>
    </w:rPr>
  </w:style>
  <w:style w:type="paragraph" w:styleId="2">
    <w:name w:val="heading 2"/>
    <w:basedOn w:val="1"/>
    <w:next w:val="1"/>
    <w:link w:val="16"/>
    <w:qFormat/>
    <w:uiPriority w:val="0"/>
    <w:pPr>
      <w:keepNext/>
      <w:keepLines/>
      <w:spacing w:before="260" w:after="260" w:line="415" w:lineRule="auto"/>
      <w:outlineLvl w:val="1"/>
    </w:pPr>
    <w:rPr>
      <w:rFonts w:ascii="Arial" w:hAnsi="Arial" w:eastAsia="黑体"/>
      <w:b/>
      <w:sz w:val="32"/>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Body Text"/>
    <w:basedOn w:val="1"/>
    <w:next w:val="1"/>
    <w:link w:val="17"/>
    <w:qFormat/>
    <w:uiPriority w:val="99"/>
    <w:pPr>
      <w:spacing w:line="60" w:lineRule="auto"/>
    </w:pPr>
    <w:rPr>
      <w:rFonts w:ascii="仿宋_GB2312" w:hAnsi="Times New Roman" w:eastAsia="仿宋_GB2312"/>
      <w:sz w:val="32"/>
    </w:rPr>
  </w:style>
  <w:style w:type="paragraph" w:styleId="5">
    <w:name w:val="Body Text Indent"/>
    <w:basedOn w:val="1"/>
    <w:link w:val="18"/>
    <w:semiHidden/>
    <w:unhideWhenUsed/>
    <w:qFormat/>
    <w:uiPriority w:val="99"/>
    <w:pPr>
      <w:spacing w:after="120"/>
      <w:ind w:left="420" w:leftChars="200"/>
    </w:pPr>
  </w:style>
  <w:style w:type="paragraph" w:styleId="6">
    <w:name w:val="Body Text Indent 2"/>
    <w:basedOn w:val="1"/>
    <w:link w:val="21"/>
    <w:semiHidden/>
    <w:unhideWhenUsed/>
    <w:uiPriority w:val="99"/>
    <w:pPr>
      <w:spacing w:after="120" w:line="480" w:lineRule="auto"/>
      <w:ind w:left="420" w:leftChars="200"/>
    </w:pPr>
  </w:style>
  <w:style w:type="paragraph" w:styleId="7">
    <w:name w:val="footer"/>
    <w:basedOn w:val="1"/>
    <w:link w:val="14"/>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3"/>
    <w:unhideWhenUsed/>
    <w:uiPriority w:val="99"/>
    <w:pP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toc 4"/>
    <w:basedOn w:val="1"/>
    <w:next w:val="1"/>
    <w:unhideWhenUsed/>
    <w:uiPriority w:val="39"/>
    <w:pPr>
      <w:ind w:left="1260" w:leftChars="600"/>
    </w:pPr>
    <w:rPr>
      <w:szCs w:val="22"/>
    </w:rPr>
  </w:style>
  <w:style w:type="paragraph" w:styleId="10">
    <w:name w:val="Body Text First Indent 2"/>
    <w:basedOn w:val="5"/>
    <w:next w:val="6"/>
    <w:link w:val="19"/>
    <w:qFormat/>
    <w:uiPriority w:val="0"/>
    <w:pPr>
      <w:spacing w:after="0"/>
      <w:ind w:firstLine="720" w:firstLineChars="225"/>
    </w:pPr>
    <w:rPr>
      <w:rFonts w:ascii="Times New Roman" w:hAnsi="Times New Roman" w:eastAsia="仿宋_GB2312"/>
      <w:sz w:val="32"/>
    </w:rPr>
  </w:style>
  <w:style w:type="character" w:customStyle="1" w:styleId="13">
    <w:name w:val="页眉 字符"/>
    <w:basedOn w:val="12"/>
    <w:link w:val="8"/>
    <w:uiPriority w:val="99"/>
    <w:rPr>
      <w:sz w:val="18"/>
      <w:szCs w:val="18"/>
    </w:rPr>
  </w:style>
  <w:style w:type="character" w:customStyle="1" w:styleId="14">
    <w:name w:val="页脚 字符"/>
    <w:basedOn w:val="12"/>
    <w:link w:val="7"/>
    <w:uiPriority w:val="99"/>
    <w:rPr>
      <w:sz w:val="18"/>
      <w:szCs w:val="18"/>
    </w:rPr>
  </w:style>
  <w:style w:type="character" w:customStyle="1" w:styleId="15">
    <w:name w:val="标题 1 字符"/>
    <w:basedOn w:val="12"/>
    <w:link w:val="3"/>
    <w:qFormat/>
    <w:uiPriority w:val="0"/>
    <w:rPr>
      <w:rFonts w:ascii="Times New Roman" w:hAnsi="Times New Roman" w:eastAsia="宋体" w:cs="Times New Roman"/>
      <w:b/>
      <w:kern w:val="44"/>
      <w:sz w:val="44"/>
      <w:szCs w:val="20"/>
    </w:rPr>
  </w:style>
  <w:style w:type="character" w:customStyle="1" w:styleId="16">
    <w:name w:val="标题 2 字符"/>
    <w:basedOn w:val="12"/>
    <w:link w:val="2"/>
    <w:qFormat/>
    <w:uiPriority w:val="0"/>
    <w:rPr>
      <w:rFonts w:ascii="Arial" w:hAnsi="Arial" w:eastAsia="黑体" w:cs="Times New Roman"/>
      <w:b/>
      <w:sz w:val="32"/>
      <w:szCs w:val="20"/>
    </w:rPr>
  </w:style>
  <w:style w:type="character" w:customStyle="1" w:styleId="17">
    <w:name w:val="正文文本 字符"/>
    <w:basedOn w:val="12"/>
    <w:link w:val="4"/>
    <w:qFormat/>
    <w:uiPriority w:val="99"/>
    <w:rPr>
      <w:rFonts w:ascii="仿宋_GB2312" w:hAnsi="Times New Roman" w:eastAsia="仿宋_GB2312" w:cs="Times New Roman"/>
      <w:sz w:val="32"/>
      <w:szCs w:val="20"/>
    </w:rPr>
  </w:style>
  <w:style w:type="character" w:customStyle="1" w:styleId="18">
    <w:name w:val="正文文本缩进 字符"/>
    <w:basedOn w:val="12"/>
    <w:link w:val="5"/>
    <w:semiHidden/>
    <w:qFormat/>
    <w:uiPriority w:val="99"/>
    <w:rPr>
      <w:rFonts w:ascii="Calibri" w:hAnsi="Calibri" w:eastAsia="宋体" w:cs="Times New Roman"/>
      <w:szCs w:val="20"/>
    </w:rPr>
  </w:style>
  <w:style w:type="character" w:customStyle="1" w:styleId="19">
    <w:name w:val="正文文本首行缩进 2 字符"/>
    <w:basedOn w:val="18"/>
    <w:link w:val="10"/>
    <w:uiPriority w:val="0"/>
    <w:rPr>
      <w:rFonts w:ascii="Times New Roman" w:hAnsi="Times New Roman" w:eastAsia="仿宋_GB2312" w:cs="Times New Roman"/>
      <w:sz w:val="32"/>
      <w:szCs w:val="20"/>
    </w:rPr>
  </w:style>
  <w:style w:type="paragraph" w:styleId="20">
    <w:name w:val="No Spacing"/>
    <w:qFormat/>
    <w:uiPriority w:val="0"/>
    <w:pPr>
      <w:widowControl w:val="0"/>
      <w:jc w:val="both"/>
    </w:pPr>
    <w:rPr>
      <w:rFonts w:ascii="Calibri" w:hAnsi="Calibri" w:eastAsia="宋体" w:cs="Times New Roman"/>
      <w:kern w:val="2"/>
      <w:sz w:val="21"/>
      <w:szCs w:val="20"/>
      <w:lang w:val="en-US" w:eastAsia="zh-CN" w:bidi="ar-SA"/>
    </w:rPr>
  </w:style>
  <w:style w:type="character" w:customStyle="1" w:styleId="21">
    <w:name w:val="正文文本缩进 2 字符"/>
    <w:basedOn w:val="12"/>
    <w:link w:val="6"/>
    <w:semiHidden/>
    <w:uiPriority w:val="99"/>
    <w:rPr>
      <w:rFonts w:ascii="Calibri" w:hAnsi="Calibri" w:eastAsia="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352</Words>
  <Characters>2007</Characters>
  <Lines>16</Lines>
  <Paragraphs>4</Paragraphs>
  <TotalTime>1</TotalTime>
  <ScaleCrop>false</ScaleCrop>
  <LinksUpToDate>false</LinksUpToDate>
  <CharactersWithSpaces>2355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2023-12-14T06:45:00Z</dcterms:created>
  <dc:creator>kakaka</dc:creator>
  <cp:lastModifiedBy>唐军(tangj)</cp:lastModifiedBy>
  <dcterms:modified xsi:type="dcterms:W3CDTF">2023-12-14T06:54:31Z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